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3928E">
      <w:pPr>
        <w:jc w:val="center"/>
        <w:rPr>
          <w:rFonts w:hint="eastAsia" w:ascii="方正小标宋简体" w:hAnsi="方正小标宋简体" w:eastAsia="方正小标宋简体" w:cs="方正小标宋简体"/>
          <w:snapToGrid w:val="0"/>
          <w:color w:val="000000"/>
          <w:kern w:val="0"/>
          <w:sz w:val="36"/>
          <w:szCs w:val="36"/>
          <w:lang w:eastAsia="zh-CN"/>
        </w:rPr>
      </w:pPr>
      <w:r>
        <w:rPr>
          <w:rFonts w:hint="eastAsia" w:ascii="方正小标宋简体" w:hAnsi="方正小标宋简体" w:eastAsia="方正小标宋简体" w:cs="方正小标宋简体"/>
          <w:snapToGrid w:val="0"/>
          <w:color w:val="000000"/>
          <w:kern w:val="0"/>
          <w:sz w:val="36"/>
          <w:szCs w:val="36"/>
          <w:lang w:eastAsia="zh-CN"/>
        </w:rPr>
        <w:t>《春大豆膜下滴灌水肥一体化栽培技术(兵团</w:t>
      </w:r>
      <w:r>
        <w:rPr>
          <w:rFonts w:hint="eastAsia" w:ascii="方正小标宋简体" w:hAnsi="方正小标宋简体" w:eastAsia="方正小标宋简体" w:cs="方正小标宋简体"/>
          <w:snapToGrid w:val="0"/>
          <w:color w:val="000000"/>
          <w:kern w:val="0"/>
          <w:sz w:val="36"/>
          <w:szCs w:val="36"/>
          <w:lang w:val="en-US" w:eastAsia="zh-CN"/>
        </w:rPr>
        <w:t>范围）</w:t>
      </w:r>
      <w:r>
        <w:rPr>
          <w:rFonts w:hint="eastAsia" w:ascii="方正小标宋简体" w:hAnsi="方正小标宋简体" w:eastAsia="方正小标宋简体" w:cs="方正小标宋简体"/>
          <w:snapToGrid w:val="0"/>
          <w:color w:val="000000"/>
          <w:kern w:val="0"/>
          <w:sz w:val="36"/>
          <w:szCs w:val="36"/>
          <w:lang w:eastAsia="zh-CN"/>
        </w:rPr>
        <w:t>》</w:t>
      </w:r>
    </w:p>
    <w:p w14:paraId="144F3B20">
      <w:pPr>
        <w:jc w:val="center"/>
        <w:rPr>
          <w:rFonts w:ascii="仿宋_GB2312" w:hAnsi="黑体" w:eastAsia="仿宋_GB2312" w:cs="方正小标宋简体"/>
          <w:sz w:val="44"/>
          <w:szCs w:val="44"/>
          <w:lang w:eastAsia="zh-CN"/>
        </w:rPr>
      </w:pPr>
      <w:r>
        <w:rPr>
          <w:rFonts w:hint="eastAsia" w:ascii="方正小标宋简体" w:hAnsi="方正小标宋简体" w:eastAsia="方正小标宋简体" w:cs="方正小标宋简体"/>
          <w:sz w:val="36"/>
          <w:szCs w:val="36"/>
          <w:lang w:eastAsia="zh-CN"/>
        </w:rPr>
        <w:t>地方标准编制说明</w:t>
      </w:r>
    </w:p>
    <w:p w14:paraId="02CDE5C4">
      <w:pPr>
        <w:widowControl/>
        <w:kinsoku w:val="0"/>
        <w:autoSpaceDE w:val="0"/>
        <w:autoSpaceDN w:val="0"/>
        <w:adjustRightInd w:val="0"/>
        <w:snapToGrid w:val="0"/>
        <w:jc w:val="center"/>
        <w:textAlignment w:val="baseline"/>
        <w:rPr>
          <w:rFonts w:hint="eastAsia" w:ascii="仿宋_GB2312" w:hAnsi="黑体" w:eastAsia="仿宋_GB2312" w:cs="方正小标宋简体"/>
          <w:snapToGrid w:val="0"/>
          <w:color w:val="000000"/>
          <w:kern w:val="0"/>
          <w:sz w:val="44"/>
          <w:szCs w:val="44"/>
          <w:lang w:eastAsia="zh-CN"/>
        </w:rPr>
      </w:pPr>
    </w:p>
    <w:p w14:paraId="5CF081A6">
      <w:pPr>
        <w:ind w:firstLine="640" w:firstLineChars="200"/>
        <w:rPr>
          <w:rFonts w:hint="eastAsia" w:ascii="黑体" w:hAnsi="黑体" w:eastAsia="黑体" w:cs="黑体"/>
          <w:b/>
          <w:bCs/>
          <w:sz w:val="32"/>
          <w:szCs w:val="32"/>
        </w:rPr>
      </w:pPr>
      <w:r>
        <w:rPr>
          <w:rFonts w:hint="eastAsia" w:ascii="黑体" w:hAnsi="黑体" w:eastAsia="黑体" w:cs="黑体"/>
          <w:b w:val="0"/>
          <w:bCs w:val="0"/>
          <w:sz w:val="32"/>
          <w:szCs w:val="32"/>
        </w:rPr>
        <w:t>一、工作简况</w:t>
      </w:r>
    </w:p>
    <w:p w14:paraId="0DF35886">
      <w:p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sz w:val="32"/>
          <w:szCs w:val="32"/>
        </w:rPr>
        <w:t>1.任务来源</w:t>
      </w:r>
    </w:p>
    <w:p w14:paraId="042B7CBB">
      <w:pPr>
        <w:spacing w:line="560" w:lineRule="exact"/>
        <w:ind w:firstLine="640" w:firstLineChars="200"/>
        <w:rPr>
          <w:rFonts w:ascii="Times New Roman" w:hAnsi="Times New Roman" w:eastAsia="仿宋" w:cs="Times New Roman"/>
          <w:bCs/>
          <w:sz w:val="32"/>
          <w:szCs w:val="32"/>
          <w:lang w:eastAsia="zh-CN"/>
        </w:rPr>
      </w:pPr>
      <w:r>
        <w:rPr>
          <w:rFonts w:ascii="Times New Roman" w:hAnsi="Times New Roman" w:eastAsia="仿宋" w:cs="Times New Roman"/>
          <w:bCs/>
          <w:sz w:val="32"/>
          <w:szCs w:val="32"/>
          <w:lang w:eastAsia="zh-CN"/>
        </w:rPr>
        <w:t>202</w:t>
      </w:r>
      <w:r>
        <w:rPr>
          <w:rFonts w:hint="eastAsia" w:ascii="Times New Roman" w:hAnsi="Times New Roman" w:eastAsia="仿宋" w:cs="Times New Roman"/>
          <w:bCs/>
          <w:sz w:val="32"/>
          <w:szCs w:val="32"/>
          <w:lang w:eastAsia="zh-CN"/>
        </w:rPr>
        <w:t>3</w:t>
      </w:r>
      <w:r>
        <w:rPr>
          <w:rFonts w:ascii="Times New Roman" w:hAnsi="Times New Roman" w:eastAsia="仿宋" w:cs="Times New Roman"/>
          <w:bCs/>
          <w:sz w:val="32"/>
          <w:szCs w:val="32"/>
          <w:lang w:eastAsia="zh-CN"/>
        </w:rPr>
        <w:t>年</w:t>
      </w:r>
      <w:r>
        <w:rPr>
          <w:rFonts w:hint="eastAsia" w:ascii="Times New Roman" w:hAnsi="Times New Roman" w:eastAsia="仿宋" w:cs="Times New Roman"/>
          <w:bCs/>
          <w:sz w:val="32"/>
          <w:szCs w:val="32"/>
          <w:lang w:eastAsia="zh-CN"/>
        </w:rPr>
        <w:t>7</w:t>
      </w:r>
      <w:r>
        <w:rPr>
          <w:rFonts w:ascii="Times New Roman" w:hAnsi="Times New Roman" w:eastAsia="仿宋" w:cs="Times New Roman"/>
          <w:bCs/>
          <w:sz w:val="32"/>
          <w:szCs w:val="32"/>
          <w:lang w:eastAsia="zh-CN"/>
        </w:rPr>
        <w:t>月</w:t>
      </w:r>
      <w:r>
        <w:rPr>
          <w:rFonts w:hint="eastAsia" w:ascii="Times New Roman" w:hAnsi="Times New Roman" w:eastAsia="仿宋" w:cs="Times New Roman"/>
          <w:bCs/>
          <w:sz w:val="32"/>
          <w:szCs w:val="32"/>
          <w:lang w:eastAsia="zh-CN"/>
        </w:rPr>
        <w:t>20</w:t>
      </w:r>
      <w:r>
        <w:rPr>
          <w:rFonts w:ascii="Times New Roman" w:hAnsi="Times New Roman" w:eastAsia="仿宋" w:cs="Times New Roman"/>
          <w:bCs/>
          <w:sz w:val="32"/>
          <w:szCs w:val="32"/>
          <w:lang w:eastAsia="zh-CN"/>
        </w:rPr>
        <w:t>日，由</w:t>
      </w:r>
      <w:r>
        <w:rPr>
          <w:rFonts w:hint="eastAsia" w:ascii="Times New Roman" w:hAnsi="Times New Roman" w:eastAsia="仿宋" w:cs="Times New Roman"/>
          <w:bCs/>
          <w:sz w:val="32"/>
          <w:szCs w:val="32"/>
          <w:lang w:eastAsia="zh-CN"/>
        </w:rPr>
        <w:t>新疆农垦科学院</w:t>
      </w:r>
      <w:r>
        <w:rPr>
          <w:rFonts w:ascii="Times New Roman" w:hAnsi="Times New Roman" w:eastAsia="仿宋" w:cs="Times New Roman"/>
          <w:bCs/>
          <w:sz w:val="32"/>
          <w:szCs w:val="32"/>
          <w:lang w:eastAsia="zh-CN"/>
        </w:rPr>
        <w:t>申请地方标准的立项，根据新疆维吾尔自治区市场监督管理局下达的202</w:t>
      </w:r>
      <w:r>
        <w:rPr>
          <w:rFonts w:hint="eastAsia" w:ascii="Times New Roman" w:hAnsi="Times New Roman" w:eastAsia="仿宋" w:cs="Times New Roman"/>
          <w:bCs/>
          <w:sz w:val="32"/>
          <w:szCs w:val="32"/>
          <w:lang w:eastAsia="zh-CN"/>
        </w:rPr>
        <w:t>3</w:t>
      </w:r>
      <w:r>
        <w:rPr>
          <w:rFonts w:ascii="Times New Roman" w:hAnsi="Times New Roman" w:eastAsia="仿宋" w:cs="Times New Roman"/>
          <w:bCs/>
          <w:sz w:val="32"/>
          <w:szCs w:val="32"/>
          <w:lang w:eastAsia="zh-CN"/>
        </w:rPr>
        <w:t>年度地方标准制修订项目计划，批准《</w:t>
      </w:r>
      <w:r>
        <w:rPr>
          <w:rFonts w:hint="eastAsia" w:ascii="Times New Roman" w:hAnsi="Times New Roman" w:eastAsia="仿宋" w:cs="Times New Roman"/>
          <w:bCs/>
          <w:sz w:val="32"/>
          <w:szCs w:val="32"/>
          <w:lang w:eastAsia="zh-CN"/>
        </w:rPr>
        <w:t>春大豆膜下滴灌水肥一体化栽培技术(兵团范围）</w:t>
      </w:r>
      <w:r>
        <w:rPr>
          <w:rFonts w:ascii="Times New Roman" w:hAnsi="Times New Roman" w:eastAsia="仿宋" w:cs="Times New Roman"/>
          <w:bCs/>
          <w:sz w:val="32"/>
          <w:szCs w:val="32"/>
          <w:lang w:eastAsia="zh-CN"/>
        </w:rPr>
        <w:t>》（立项编号：XJ2</w:t>
      </w:r>
      <w:r>
        <w:rPr>
          <w:rFonts w:hint="eastAsia" w:ascii="Times New Roman" w:hAnsi="Times New Roman" w:eastAsia="仿宋" w:cs="Times New Roman"/>
          <w:bCs/>
          <w:sz w:val="32"/>
          <w:szCs w:val="32"/>
          <w:lang w:eastAsia="zh-CN"/>
        </w:rPr>
        <w:t>3</w:t>
      </w:r>
      <w:r>
        <w:rPr>
          <w:rFonts w:ascii="Times New Roman" w:hAnsi="Times New Roman" w:eastAsia="仿宋" w:cs="Times New Roman"/>
          <w:bCs/>
          <w:sz w:val="32"/>
          <w:szCs w:val="32"/>
          <w:lang w:eastAsia="zh-CN"/>
        </w:rPr>
        <w:t>-</w:t>
      </w:r>
      <w:r>
        <w:rPr>
          <w:rFonts w:hint="eastAsia" w:ascii="Times New Roman" w:hAnsi="Times New Roman" w:eastAsia="仿宋" w:cs="Times New Roman"/>
          <w:bCs/>
          <w:sz w:val="32"/>
          <w:szCs w:val="32"/>
          <w:lang w:eastAsia="zh-CN"/>
        </w:rPr>
        <w:t>1</w:t>
      </w:r>
      <w:r>
        <w:rPr>
          <w:rFonts w:hint="eastAsia" w:ascii="Times New Roman" w:hAnsi="Times New Roman" w:eastAsia="仿宋" w:cs="Times New Roman"/>
          <w:bCs/>
          <w:sz w:val="32"/>
          <w:szCs w:val="32"/>
          <w:lang w:val="en-US" w:eastAsia="zh-CN"/>
        </w:rPr>
        <w:t>48</w:t>
      </w:r>
      <w:r>
        <w:rPr>
          <w:rFonts w:ascii="Times New Roman" w:hAnsi="Times New Roman" w:eastAsia="仿宋" w:cs="Times New Roman"/>
          <w:bCs/>
          <w:sz w:val="32"/>
          <w:szCs w:val="32"/>
          <w:lang w:eastAsia="zh-CN"/>
        </w:rPr>
        <w:t>）地方标准的制定。</w:t>
      </w:r>
    </w:p>
    <w:p w14:paraId="596459E9">
      <w:p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sz w:val="32"/>
          <w:szCs w:val="32"/>
          <w:lang w:val="en-US" w:eastAsia="zh-CN"/>
        </w:rPr>
        <w:t>2.</w:t>
      </w:r>
      <w:r>
        <w:rPr>
          <w:rFonts w:hint="eastAsia" w:ascii="楷体_GB2312" w:hAnsi="Times New Roman" w:eastAsia="楷体_GB2312" w:cs="Times New Roman"/>
          <w:sz w:val="32"/>
          <w:szCs w:val="32"/>
        </w:rPr>
        <w:t>起草单位</w:t>
      </w:r>
    </w:p>
    <w:p w14:paraId="52FD9BEF">
      <w:pPr>
        <w:numPr>
          <w:ilvl w:val="0"/>
          <w:numId w:val="0"/>
        </w:numPr>
        <w:ind w:firstLine="640" w:firstLineChars="200"/>
        <w:rPr>
          <w:rFonts w:hint="default" w:ascii="仿宋_GB2312" w:eastAsia="仿宋_GB2312"/>
          <w:sz w:val="32"/>
          <w:szCs w:val="32"/>
          <w:lang w:val="en-US" w:eastAsia="zh-CN"/>
        </w:rPr>
      </w:pPr>
      <w:r>
        <w:rPr>
          <w:rFonts w:hint="eastAsia" w:ascii="仿宋_GB2312" w:eastAsia="仿宋_GB2312"/>
          <w:sz w:val="32"/>
          <w:szCs w:val="32"/>
        </w:rPr>
        <w:t>起草单位：</w:t>
      </w:r>
      <w:r>
        <w:rPr>
          <w:rFonts w:hint="eastAsia" w:ascii="仿宋_GB2312" w:eastAsia="仿宋_GB2312"/>
          <w:sz w:val="32"/>
          <w:szCs w:val="32"/>
          <w:lang w:val="en-US" w:eastAsia="zh-CN"/>
        </w:rPr>
        <w:t>新疆农垦科学院</w:t>
      </w:r>
    </w:p>
    <w:p w14:paraId="5BDF96B0">
      <w:pPr>
        <w:ind w:firstLine="640" w:firstLineChars="200"/>
        <w:rPr>
          <w:rFonts w:hint="eastAsia" w:ascii="楷体_GB2312" w:hAnsi="Times New Roman" w:eastAsia="楷体_GB2312" w:cs="Times New Roman"/>
          <w:sz w:val="32"/>
          <w:szCs w:val="32"/>
          <w:lang w:val="en-US" w:eastAsia="zh-CN"/>
        </w:rPr>
      </w:pPr>
      <w:r>
        <w:rPr>
          <w:rFonts w:hint="eastAsia" w:ascii="楷体_GB2312" w:hAnsi="Times New Roman" w:eastAsia="楷体_GB2312" w:cs="Times New Roman"/>
          <w:sz w:val="32"/>
          <w:szCs w:val="32"/>
          <w:lang w:val="en-US" w:eastAsia="zh-CN"/>
        </w:rPr>
        <w:t>3.主要起草人</w:t>
      </w:r>
    </w:p>
    <w:p w14:paraId="0750632C">
      <w:pPr>
        <w:spacing w:line="500" w:lineRule="exact"/>
        <w:ind w:firstLine="640"/>
        <w:jc w:val="center"/>
        <w:rPr>
          <w:rFonts w:ascii="Times New Roman" w:hAnsi="Times New Roman" w:eastAsia="黑体" w:cs="Times New Roman"/>
          <w:sz w:val="24"/>
          <w:szCs w:val="24"/>
          <w:lang w:eastAsia="zh-CN"/>
        </w:rPr>
      </w:pPr>
      <w:r>
        <w:rPr>
          <w:rFonts w:hint="eastAsia" w:ascii="仿宋_GB2312" w:hAnsi="Times New Roman" w:eastAsia="仿宋_GB2312" w:cs="Times New Roman"/>
          <w:sz w:val="32"/>
          <w:szCs w:val="32"/>
          <w:lang w:eastAsia="zh-CN"/>
        </w:rPr>
        <w:t>表1</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lang w:eastAsia="zh-CN"/>
        </w:rPr>
        <w:t>主要起草人员信息及任务分工</w:t>
      </w:r>
    </w:p>
    <w:tbl>
      <w:tblPr>
        <w:tblStyle w:val="6"/>
        <w:tblW w:w="870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711"/>
        <w:gridCol w:w="1733"/>
        <w:gridCol w:w="2267"/>
        <w:gridCol w:w="2900"/>
      </w:tblGrid>
      <w:tr w14:paraId="4FF0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89" w:type="dxa"/>
            <w:noWrap w:val="0"/>
            <w:vAlign w:val="center"/>
          </w:tcPr>
          <w:p w14:paraId="3D6E9CF4">
            <w:pPr>
              <w:jc w:val="center"/>
              <w:rPr>
                <w:rFonts w:hint="eastAsia" w:ascii="仿宋_GB2312" w:eastAsia="仿宋_GB2312"/>
                <w:sz w:val="24"/>
                <w:szCs w:val="24"/>
              </w:rPr>
            </w:pPr>
            <w:r>
              <w:rPr>
                <w:rFonts w:hint="eastAsia" w:ascii="仿宋_GB2312" w:eastAsia="仿宋_GB2312"/>
                <w:sz w:val="24"/>
                <w:szCs w:val="24"/>
              </w:rPr>
              <w:t>姓 名</w:t>
            </w:r>
          </w:p>
        </w:tc>
        <w:tc>
          <w:tcPr>
            <w:tcW w:w="711" w:type="dxa"/>
            <w:noWrap w:val="0"/>
            <w:vAlign w:val="center"/>
          </w:tcPr>
          <w:p w14:paraId="054D21D7">
            <w:pPr>
              <w:jc w:val="center"/>
              <w:rPr>
                <w:rFonts w:hint="eastAsia" w:ascii="仿宋_GB2312" w:eastAsia="仿宋_GB2312"/>
                <w:sz w:val="24"/>
                <w:szCs w:val="24"/>
              </w:rPr>
            </w:pPr>
            <w:r>
              <w:rPr>
                <w:rFonts w:hint="eastAsia" w:ascii="仿宋_GB2312" w:eastAsia="仿宋_GB2312"/>
                <w:sz w:val="24"/>
                <w:szCs w:val="24"/>
              </w:rPr>
              <w:t>性别</w:t>
            </w:r>
          </w:p>
        </w:tc>
        <w:tc>
          <w:tcPr>
            <w:tcW w:w="1733" w:type="dxa"/>
            <w:noWrap w:val="0"/>
            <w:vAlign w:val="center"/>
          </w:tcPr>
          <w:p w14:paraId="030D7A25">
            <w:pPr>
              <w:jc w:val="center"/>
              <w:rPr>
                <w:rFonts w:hint="eastAsia" w:ascii="仿宋_GB2312" w:eastAsia="仿宋_GB2312"/>
                <w:sz w:val="24"/>
                <w:szCs w:val="24"/>
              </w:rPr>
            </w:pPr>
            <w:r>
              <w:rPr>
                <w:rFonts w:hint="eastAsia" w:ascii="仿宋_GB2312" w:eastAsia="仿宋_GB2312"/>
                <w:sz w:val="24"/>
                <w:szCs w:val="24"/>
              </w:rPr>
              <w:t>职务/职称</w:t>
            </w:r>
          </w:p>
        </w:tc>
        <w:tc>
          <w:tcPr>
            <w:tcW w:w="2267" w:type="dxa"/>
            <w:noWrap w:val="0"/>
            <w:vAlign w:val="center"/>
          </w:tcPr>
          <w:p w14:paraId="43C106B4">
            <w:pPr>
              <w:jc w:val="center"/>
              <w:rPr>
                <w:rFonts w:hint="eastAsia" w:ascii="仿宋_GB2312" w:eastAsia="仿宋_GB2312"/>
                <w:sz w:val="24"/>
                <w:szCs w:val="24"/>
              </w:rPr>
            </w:pPr>
            <w:r>
              <w:rPr>
                <w:rFonts w:hint="eastAsia" w:ascii="仿宋_GB2312" w:eastAsia="仿宋_GB2312"/>
                <w:sz w:val="24"/>
                <w:szCs w:val="24"/>
              </w:rPr>
              <w:t>工作单位</w:t>
            </w:r>
          </w:p>
        </w:tc>
        <w:tc>
          <w:tcPr>
            <w:tcW w:w="2900" w:type="dxa"/>
            <w:noWrap w:val="0"/>
            <w:vAlign w:val="center"/>
          </w:tcPr>
          <w:p w14:paraId="0E5070B1">
            <w:pPr>
              <w:jc w:val="center"/>
              <w:rPr>
                <w:rFonts w:hint="eastAsia" w:ascii="仿宋_GB2312" w:eastAsia="仿宋_GB2312"/>
                <w:sz w:val="24"/>
                <w:szCs w:val="24"/>
              </w:rPr>
            </w:pPr>
            <w:r>
              <w:rPr>
                <w:rFonts w:hint="eastAsia" w:ascii="仿宋_GB2312" w:eastAsia="仿宋_GB2312"/>
                <w:sz w:val="24"/>
                <w:szCs w:val="24"/>
              </w:rPr>
              <w:t>任务分工</w:t>
            </w:r>
          </w:p>
        </w:tc>
      </w:tr>
      <w:tr w14:paraId="76D3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16D14CB2">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战 勇</w:t>
            </w:r>
          </w:p>
        </w:tc>
        <w:tc>
          <w:tcPr>
            <w:tcW w:w="711" w:type="dxa"/>
            <w:noWrap w:val="0"/>
            <w:vAlign w:val="center"/>
          </w:tcPr>
          <w:p w14:paraId="54C619A0">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color w:val="000000"/>
                <w:spacing w:val="19"/>
                <w:kern w:val="0"/>
                <w:sz w:val="24"/>
                <w:szCs w:val="24"/>
                <w:lang w:val="en-US" w:eastAsia="zh-CN"/>
              </w:rPr>
              <w:t>男</w:t>
            </w:r>
          </w:p>
        </w:tc>
        <w:tc>
          <w:tcPr>
            <w:tcW w:w="1733" w:type="dxa"/>
            <w:noWrap w:val="0"/>
            <w:vAlign w:val="center"/>
          </w:tcPr>
          <w:p w14:paraId="583F0D08">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研究员</w:t>
            </w:r>
          </w:p>
        </w:tc>
        <w:tc>
          <w:tcPr>
            <w:tcW w:w="2267" w:type="dxa"/>
            <w:noWrap w:val="0"/>
            <w:vAlign w:val="center"/>
          </w:tcPr>
          <w:p w14:paraId="43B53212">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17EFB6D1">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主持制定标准</w:t>
            </w:r>
            <w:r>
              <w:rPr>
                <w:rFonts w:hint="eastAsia" w:ascii="方正仿宋_GB2312" w:hAnsi="方正仿宋_GB2312" w:eastAsia="方正仿宋_GB2312" w:cs="方正仿宋_GB2312"/>
                <w:sz w:val="24"/>
                <w:szCs w:val="24"/>
                <w:lang w:val="en-US" w:eastAsia="zh-CN"/>
              </w:rPr>
              <w:t>与</w:t>
            </w:r>
            <w:r>
              <w:rPr>
                <w:rFonts w:hint="eastAsia" w:ascii="方正仿宋_GB2312" w:hAnsi="方正仿宋_GB2312" w:eastAsia="方正仿宋_GB2312" w:cs="方正仿宋_GB2312"/>
                <w:sz w:val="24"/>
                <w:szCs w:val="24"/>
              </w:rPr>
              <w:t>起草标准</w:t>
            </w:r>
          </w:p>
        </w:tc>
      </w:tr>
      <w:tr w14:paraId="6DA30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484AC1BB">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曾 凯</w:t>
            </w:r>
          </w:p>
        </w:tc>
        <w:tc>
          <w:tcPr>
            <w:tcW w:w="711" w:type="dxa"/>
            <w:noWrap w:val="0"/>
            <w:vAlign w:val="center"/>
          </w:tcPr>
          <w:p w14:paraId="4FA014E9">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color w:val="000000"/>
                <w:spacing w:val="19"/>
                <w:kern w:val="0"/>
                <w:sz w:val="24"/>
                <w:szCs w:val="24"/>
                <w:lang w:val="en-US" w:eastAsia="zh-CN"/>
              </w:rPr>
            </w:pPr>
            <w:r>
              <w:rPr>
                <w:rFonts w:hint="eastAsia" w:ascii="方正仿宋_GB2312" w:hAnsi="方正仿宋_GB2312" w:eastAsia="方正仿宋_GB2312" w:cs="方正仿宋_GB2312"/>
                <w:color w:val="000000"/>
                <w:spacing w:val="19"/>
                <w:kern w:val="0"/>
                <w:sz w:val="24"/>
                <w:szCs w:val="24"/>
                <w:lang w:val="en-US" w:eastAsia="zh-CN"/>
              </w:rPr>
              <w:t>男</w:t>
            </w:r>
          </w:p>
        </w:tc>
        <w:tc>
          <w:tcPr>
            <w:tcW w:w="1733" w:type="dxa"/>
            <w:noWrap w:val="0"/>
            <w:vAlign w:val="center"/>
          </w:tcPr>
          <w:p w14:paraId="049C5548">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color w:val="000000"/>
                <w:spacing w:val="19"/>
                <w:kern w:val="0"/>
                <w:sz w:val="24"/>
                <w:szCs w:val="24"/>
              </w:rPr>
            </w:pPr>
            <w:r>
              <w:rPr>
                <w:rFonts w:hint="eastAsia" w:ascii="方正仿宋_GB2312" w:hAnsi="方正仿宋_GB2312" w:eastAsia="方正仿宋_GB2312" w:cs="方正仿宋_GB2312"/>
                <w:color w:val="000000"/>
                <w:spacing w:val="19"/>
                <w:kern w:val="0"/>
                <w:sz w:val="24"/>
                <w:szCs w:val="24"/>
              </w:rPr>
              <w:t>副研究员</w:t>
            </w:r>
          </w:p>
        </w:tc>
        <w:tc>
          <w:tcPr>
            <w:tcW w:w="2267" w:type="dxa"/>
            <w:noWrap w:val="0"/>
            <w:vAlign w:val="center"/>
          </w:tcPr>
          <w:p w14:paraId="2FA88B63">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color w:val="000000"/>
                <w:spacing w:val="19"/>
                <w:kern w:val="0"/>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1363B65E">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起草标准、组织验证</w:t>
            </w:r>
          </w:p>
        </w:tc>
      </w:tr>
      <w:tr w14:paraId="0365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02DE1CF7">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张恒斌</w:t>
            </w:r>
          </w:p>
        </w:tc>
        <w:tc>
          <w:tcPr>
            <w:tcW w:w="711" w:type="dxa"/>
            <w:noWrap w:val="0"/>
            <w:vAlign w:val="center"/>
          </w:tcPr>
          <w:p w14:paraId="4B18E06C">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color w:val="000000"/>
                <w:spacing w:val="19"/>
                <w:kern w:val="0"/>
                <w:sz w:val="24"/>
                <w:szCs w:val="24"/>
                <w:lang w:val="en-US" w:eastAsia="zh-CN"/>
              </w:rPr>
              <w:t>男</w:t>
            </w:r>
          </w:p>
        </w:tc>
        <w:tc>
          <w:tcPr>
            <w:tcW w:w="1733" w:type="dxa"/>
            <w:noWrap w:val="0"/>
            <w:vAlign w:val="center"/>
          </w:tcPr>
          <w:p w14:paraId="3F47C479">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副研究员</w:t>
            </w:r>
          </w:p>
        </w:tc>
        <w:tc>
          <w:tcPr>
            <w:tcW w:w="2267" w:type="dxa"/>
            <w:noWrap w:val="0"/>
            <w:vAlign w:val="center"/>
          </w:tcPr>
          <w:p w14:paraId="2C2A6C34">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537D67ED">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eastAsia="zh-CN"/>
              </w:rPr>
              <w:t>资料收集、田间调查、验证比对</w:t>
            </w:r>
          </w:p>
        </w:tc>
      </w:tr>
      <w:tr w14:paraId="5A66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31F00AD7">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bookmarkStart w:id="0" w:name="_GoBack"/>
            <w:bookmarkEnd w:id="0"/>
            <w:r>
              <w:rPr>
                <w:rFonts w:hint="eastAsia" w:ascii="方正仿宋_GB2312" w:hAnsi="方正仿宋_GB2312" w:eastAsia="方正仿宋_GB2312" w:cs="方正仿宋_GB2312"/>
                <w:sz w:val="24"/>
                <w:szCs w:val="24"/>
                <w:lang w:val="en-US" w:eastAsia="zh-CN"/>
              </w:rPr>
              <w:t>赵 靓</w:t>
            </w:r>
          </w:p>
        </w:tc>
        <w:tc>
          <w:tcPr>
            <w:tcW w:w="711" w:type="dxa"/>
            <w:noWrap w:val="0"/>
            <w:vAlign w:val="center"/>
          </w:tcPr>
          <w:p w14:paraId="4C2662BB">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lang w:val="en-US" w:eastAsia="zh-CN"/>
              </w:rPr>
              <w:t>女</w:t>
            </w:r>
          </w:p>
        </w:tc>
        <w:tc>
          <w:tcPr>
            <w:tcW w:w="1733" w:type="dxa"/>
            <w:noWrap w:val="0"/>
            <w:vAlign w:val="center"/>
          </w:tcPr>
          <w:p w14:paraId="45D97CB4">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lang w:val="en-US" w:eastAsia="zh-CN"/>
              </w:rPr>
              <w:t>副</w:t>
            </w:r>
            <w:r>
              <w:rPr>
                <w:rFonts w:hint="eastAsia" w:ascii="方正仿宋_GB2312" w:hAnsi="方正仿宋_GB2312" w:eastAsia="方正仿宋_GB2312" w:cs="方正仿宋_GB2312"/>
                <w:color w:val="000000"/>
                <w:spacing w:val="19"/>
                <w:kern w:val="0"/>
                <w:sz w:val="24"/>
                <w:szCs w:val="24"/>
              </w:rPr>
              <w:t>研究员</w:t>
            </w:r>
          </w:p>
        </w:tc>
        <w:tc>
          <w:tcPr>
            <w:tcW w:w="2267" w:type="dxa"/>
            <w:noWrap w:val="0"/>
            <w:vAlign w:val="center"/>
          </w:tcPr>
          <w:p w14:paraId="51F66864">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40108E7F">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eastAsia="zh-CN"/>
              </w:rPr>
              <w:t>资料收集、田间调查、验证比对</w:t>
            </w:r>
          </w:p>
        </w:tc>
      </w:tr>
      <w:tr w14:paraId="0E323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19DA6A7A">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张祥池</w:t>
            </w:r>
          </w:p>
        </w:tc>
        <w:tc>
          <w:tcPr>
            <w:tcW w:w="711" w:type="dxa"/>
            <w:noWrap w:val="0"/>
            <w:vAlign w:val="center"/>
          </w:tcPr>
          <w:p w14:paraId="7A4CA798">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color w:val="000000"/>
                <w:spacing w:val="19"/>
                <w:kern w:val="0"/>
                <w:sz w:val="24"/>
                <w:szCs w:val="24"/>
                <w:lang w:val="en-US" w:eastAsia="zh-CN"/>
              </w:rPr>
              <w:t>男</w:t>
            </w:r>
          </w:p>
        </w:tc>
        <w:tc>
          <w:tcPr>
            <w:tcW w:w="1733" w:type="dxa"/>
            <w:noWrap w:val="0"/>
            <w:vAlign w:val="center"/>
          </w:tcPr>
          <w:p w14:paraId="090B8FB2">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助理研究员</w:t>
            </w:r>
          </w:p>
        </w:tc>
        <w:tc>
          <w:tcPr>
            <w:tcW w:w="2267" w:type="dxa"/>
            <w:noWrap w:val="0"/>
            <w:vAlign w:val="center"/>
          </w:tcPr>
          <w:p w14:paraId="6F10E71B">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50818646">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lang w:val="en-US" w:eastAsia="zh-CN"/>
              </w:rPr>
              <w:t>资料</w:t>
            </w:r>
            <w:r>
              <w:rPr>
                <w:rFonts w:hint="eastAsia" w:ascii="方正仿宋_GB2312" w:hAnsi="方正仿宋_GB2312" w:eastAsia="方正仿宋_GB2312" w:cs="方正仿宋_GB2312"/>
                <w:color w:val="000000"/>
                <w:spacing w:val="19"/>
                <w:kern w:val="0"/>
                <w:sz w:val="24"/>
                <w:szCs w:val="24"/>
              </w:rPr>
              <w:t>整理与文本校对</w:t>
            </w:r>
          </w:p>
        </w:tc>
      </w:tr>
      <w:tr w14:paraId="1551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1013A1EF">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苏 鑫</w:t>
            </w:r>
          </w:p>
        </w:tc>
        <w:tc>
          <w:tcPr>
            <w:tcW w:w="711" w:type="dxa"/>
            <w:noWrap w:val="0"/>
            <w:vAlign w:val="center"/>
          </w:tcPr>
          <w:p w14:paraId="7BD2430C">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color w:val="000000"/>
                <w:spacing w:val="19"/>
                <w:kern w:val="0"/>
                <w:sz w:val="24"/>
                <w:szCs w:val="24"/>
                <w:lang w:val="en-US" w:eastAsia="zh-CN"/>
              </w:rPr>
              <w:t>男</w:t>
            </w:r>
          </w:p>
        </w:tc>
        <w:tc>
          <w:tcPr>
            <w:tcW w:w="1733" w:type="dxa"/>
            <w:noWrap w:val="0"/>
            <w:vAlign w:val="center"/>
          </w:tcPr>
          <w:p w14:paraId="2BB7E73A">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研究实习员</w:t>
            </w:r>
          </w:p>
        </w:tc>
        <w:tc>
          <w:tcPr>
            <w:tcW w:w="2267" w:type="dxa"/>
            <w:noWrap w:val="0"/>
            <w:vAlign w:val="center"/>
          </w:tcPr>
          <w:p w14:paraId="736E28E4">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2E74D928">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lang w:val="en-US" w:eastAsia="zh-CN"/>
              </w:rPr>
              <w:t>资料</w:t>
            </w:r>
            <w:r>
              <w:rPr>
                <w:rFonts w:hint="eastAsia" w:ascii="方正仿宋_GB2312" w:hAnsi="方正仿宋_GB2312" w:eastAsia="方正仿宋_GB2312" w:cs="方正仿宋_GB2312"/>
                <w:color w:val="000000"/>
                <w:spacing w:val="19"/>
                <w:kern w:val="0"/>
                <w:sz w:val="24"/>
                <w:szCs w:val="24"/>
              </w:rPr>
              <w:t>整理与文本校对</w:t>
            </w:r>
          </w:p>
        </w:tc>
      </w:tr>
      <w:tr w14:paraId="504F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02F95B6C">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张占琴</w:t>
            </w:r>
          </w:p>
        </w:tc>
        <w:tc>
          <w:tcPr>
            <w:tcW w:w="711" w:type="dxa"/>
            <w:noWrap w:val="0"/>
            <w:vAlign w:val="top"/>
          </w:tcPr>
          <w:p w14:paraId="4BCCA66C">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女</w:t>
            </w:r>
          </w:p>
        </w:tc>
        <w:tc>
          <w:tcPr>
            <w:tcW w:w="1733" w:type="dxa"/>
            <w:noWrap w:val="0"/>
            <w:vAlign w:val="top"/>
          </w:tcPr>
          <w:p w14:paraId="6AE926AD">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研究员</w:t>
            </w:r>
          </w:p>
        </w:tc>
        <w:tc>
          <w:tcPr>
            <w:tcW w:w="2267" w:type="dxa"/>
            <w:noWrap w:val="0"/>
            <w:vAlign w:val="center"/>
          </w:tcPr>
          <w:p w14:paraId="7E895A07">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05DFBAD7">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eastAsia="zh-CN"/>
              </w:rPr>
              <w:t>资料收集、田间调查、验证比对</w:t>
            </w:r>
          </w:p>
        </w:tc>
      </w:tr>
      <w:tr w14:paraId="0288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6EAF0400">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葛 优</w:t>
            </w:r>
          </w:p>
        </w:tc>
        <w:tc>
          <w:tcPr>
            <w:tcW w:w="711" w:type="dxa"/>
            <w:noWrap w:val="0"/>
            <w:vAlign w:val="top"/>
          </w:tcPr>
          <w:p w14:paraId="3CD5C160">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男</w:t>
            </w:r>
          </w:p>
        </w:tc>
        <w:tc>
          <w:tcPr>
            <w:tcW w:w="1733" w:type="dxa"/>
            <w:noWrap w:val="0"/>
            <w:vAlign w:val="top"/>
          </w:tcPr>
          <w:p w14:paraId="6E52BFF0">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助理研究员</w:t>
            </w:r>
          </w:p>
        </w:tc>
        <w:tc>
          <w:tcPr>
            <w:tcW w:w="2267" w:type="dxa"/>
            <w:noWrap w:val="0"/>
            <w:vAlign w:val="center"/>
          </w:tcPr>
          <w:p w14:paraId="5F23ABD9">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76AE33C0">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lang w:val="en-US" w:eastAsia="zh-CN"/>
              </w:rPr>
              <w:t>资料</w:t>
            </w:r>
            <w:r>
              <w:rPr>
                <w:rFonts w:hint="eastAsia" w:ascii="方正仿宋_GB2312" w:hAnsi="方正仿宋_GB2312" w:eastAsia="方正仿宋_GB2312" w:cs="方正仿宋_GB2312"/>
                <w:color w:val="000000"/>
                <w:spacing w:val="19"/>
                <w:kern w:val="0"/>
                <w:sz w:val="24"/>
                <w:szCs w:val="24"/>
              </w:rPr>
              <w:t>整理与文本校对</w:t>
            </w:r>
          </w:p>
        </w:tc>
      </w:tr>
    </w:tbl>
    <w:p w14:paraId="6E4B5905">
      <w:pPr>
        <w:numPr>
          <w:ilvl w:val="0"/>
          <w:numId w:val="0"/>
        </w:numPr>
        <w:ind w:firstLine="640" w:firstLineChars="200"/>
        <w:rPr>
          <w:rFonts w:hint="eastAsia" w:ascii="黑体" w:hAnsi="黑体" w:eastAsia="黑体" w:cs="黑体"/>
          <w:b w:val="0"/>
          <w:bCs w:val="0"/>
          <w:sz w:val="32"/>
          <w:szCs w:val="32"/>
        </w:rPr>
      </w:pPr>
      <w:r>
        <w:rPr>
          <w:rFonts w:hint="eastAsia" w:ascii="黑体" w:hAnsi="黑体" w:eastAsia="黑体" w:cs="黑体"/>
          <w:b w:val="0"/>
          <w:bCs w:val="0"/>
          <w:kern w:val="2"/>
          <w:sz w:val="32"/>
          <w:szCs w:val="32"/>
          <w:lang w:val="en-US" w:eastAsia="zh-CN" w:bidi="ar-SA"/>
        </w:rPr>
        <w:t>二、</w:t>
      </w:r>
      <w:r>
        <w:rPr>
          <w:rFonts w:hint="eastAsia" w:ascii="黑体" w:hAnsi="黑体" w:eastAsia="黑体" w:cs="黑体"/>
          <w:b w:val="0"/>
          <w:bCs w:val="0"/>
          <w:sz w:val="32"/>
          <w:szCs w:val="32"/>
        </w:rPr>
        <w:t>制定（修订）标准的必要性和意义</w:t>
      </w:r>
    </w:p>
    <w:p w14:paraId="40BBF5E3">
      <w:pPr>
        <w:ind w:firstLine="643" w:firstLineChars="200"/>
        <w:rPr>
          <w:rFonts w:hint="eastAsia" w:ascii="仿宋_GB2312" w:hAnsi="Times New Roman" w:eastAsia="仿宋_GB2312" w:cs="Times New Roman"/>
          <w:bCs/>
          <w:sz w:val="32"/>
          <w:szCs w:val="32"/>
          <w:lang w:eastAsia="zh-CN"/>
        </w:rPr>
      </w:pPr>
      <w:r>
        <w:rPr>
          <w:rFonts w:hint="eastAsia" w:ascii="仿宋_GB2312" w:hAnsi="Times New Roman" w:eastAsia="仿宋_GB2312" w:cs="Times New Roman"/>
          <w:b/>
          <w:bCs w:val="0"/>
          <w:sz w:val="32"/>
          <w:szCs w:val="32"/>
          <w:lang w:eastAsia="zh-CN"/>
        </w:rPr>
        <w:t>国内大豆需求缺口不断扩大。</w:t>
      </w:r>
      <w:r>
        <w:rPr>
          <w:rFonts w:hint="eastAsia" w:ascii="仿宋_GB2312" w:hAnsi="Times New Roman" w:eastAsia="仿宋_GB2312" w:cs="Times New Roman"/>
          <w:bCs/>
          <w:sz w:val="32"/>
          <w:szCs w:val="32"/>
          <w:lang w:eastAsia="zh-CN"/>
        </w:rPr>
        <w:t>大豆是粮油兼用的经济作物，是我国供需矛盾最为突出的农产品，已连续多年大幅刷新进口纪录，对外依存度87%以上，严重影响到国家的粮食安全。新疆是全国大豆的高产区，但大豆年进口量占年消费量的60%以上，随着大豆种植面积逐年下滑，年度总产不足10万吨，需求缺口还在继续扩大。</w:t>
      </w:r>
    </w:p>
    <w:p w14:paraId="55E92AE4">
      <w:pPr>
        <w:ind w:firstLine="643" w:firstLineChars="200"/>
        <w:rPr>
          <w:rFonts w:hint="eastAsia" w:ascii="仿宋_GB2312" w:hAnsi="Times New Roman" w:eastAsia="仿宋_GB2312" w:cs="Times New Roman"/>
          <w:bCs/>
          <w:sz w:val="32"/>
          <w:szCs w:val="32"/>
          <w:lang w:eastAsia="zh-CN"/>
        </w:rPr>
      </w:pPr>
      <w:r>
        <w:rPr>
          <w:rFonts w:hint="eastAsia" w:ascii="仿宋_GB2312" w:hAnsi="Times New Roman" w:eastAsia="仿宋_GB2312" w:cs="Times New Roman"/>
          <w:b/>
          <w:bCs w:val="0"/>
          <w:sz w:val="32"/>
          <w:szCs w:val="32"/>
          <w:lang w:eastAsia="zh-CN"/>
        </w:rPr>
        <w:t>提升大豆单产水平是解决问题的关键。</w:t>
      </w:r>
      <w:r>
        <w:rPr>
          <w:rFonts w:hint="eastAsia" w:ascii="仿宋_GB2312" w:hAnsi="Times New Roman" w:eastAsia="仿宋_GB2312" w:cs="Times New Roman"/>
          <w:bCs/>
          <w:sz w:val="32"/>
          <w:szCs w:val="32"/>
          <w:lang w:eastAsia="zh-CN"/>
        </w:rPr>
        <w:t>新疆大豆亩产水平183kg左右，高于</w:t>
      </w:r>
      <w:r>
        <w:rPr>
          <w:rFonts w:hint="eastAsia" w:ascii="仿宋_GB2312" w:hAnsi="Times New Roman" w:eastAsia="仿宋_GB2312" w:cs="Times New Roman"/>
          <w:bCs/>
          <w:sz w:val="32"/>
          <w:szCs w:val="32"/>
          <w:lang w:val="en-US" w:eastAsia="zh-CN"/>
        </w:rPr>
        <w:t>我国</w:t>
      </w:r>
      <w:r>
        <w:rPr>
          <w:rFonts w:hint="eastAsia" w:ascii="仿宋_GB2312" w:hAnsi="Times New Roman" w:eastAsia="仿宋_GB2312" w:cs="Times New Roman"/>
          <w:bCs/>
          <w:sz w:val="32"/>
          <w:szCs w:val="32"/>
          <w:lang w:eastAsia="zh-CN"/>
        </w:rPr>
        <w:t>平均水平，但仍远低于巴西及美国的水平，市场竞争力弱。受限于我国耕地面积难以大幅度增加，解决大豆基本需求的关键是提高单产水平，提升单产水平的前提是关键栽培技术突破，建立高产栽培技术模式。</w:t>
      </w:r>
    </w:p>
    <w:p w14:paraId="67A2282D">
      <w:pPr>
        <w:ind w:firstLine="643" w:firstLineChars="200"/>
        <w:rPr>
          <w:rFonts w:hint="eastAsia" w:ascii="仿宋_GB2312" w:hAnsi="Times New Roman" w:eastAsia="仿宋_GB2312" w:cs="Times New Roman"/>
          <w:bCs/>
          <w:sz w:val="32"/>
          <w:szCs w:val="32"/>
          <w:lang w:eastAsia="zh-CN"/>
        </w:rPr>
      </w:pPr>
      <w:r>
        <w:rPr>
          <w:rFonts w:hint="eastAsia" w:ascii="仿宋_GB2312" w:hAnsi="Times New Roman" w:eastAsia="仿宋_GB2312" w:cs="Times New Roman"/>
          <w:b/>
          <w:bCs w:val="0"/>
          <w:sz w:val="32"/>
          <w:szCs w:val="32"/>
          <w:lang w:eastAsia="zh-CN"/>
        </w:rPr>
        <w:t>高产栽培技术的建立是实现大豆单产突破的必要保障。</w:t>
      </w:r>
      <w:r>
        <w:rPr>
          <w:rFonts w:hint="eastAsia" w:ascii="仿宋_GB2312" w:hAnsi="Times New Roman" w:eastAsia="仿宋_GB2312" w:cs="Times New Roman"/>
          <w:bCs/>
          <w:sz w:val="32"/>
          <w:szCs w:val="32"/>
          <w:lang w:eastAsia="zh-CN"/>
        </w:rPr>
        <w:t>高产栽培技术可保证高产品种生产潜力的发挥，有效提高大豆单产水平，提高经济效益。新疆兵团坚持增密增产的思路多次创造了全国高产纪录，并带动了东北、黄淮等区域的增密高产纪录不断涌现，2020年新疆兵团再次创造了亩产453.54kg的全国高产新纪录。大豆生产水平距高产纪录仍有很大差距，新疆是大豆高产区，规模化种植大豆平均水平也不足300公斤，产量提升空间很大。</w:t>
      </w:r>
    </w:p>
    <w:p w14:paraId="1D154AD8">
      <w:pPr>
        <w:ind w:firstLine="640" w:firstLineChars="200"/>
        <w:rPr>
          <w:rFonts w:hint="eastAsia" w:ascii="仿宋_GB2312" w:hAnsi="Times New Roman" w:eastAsia="仿宋_GB2312" w:cs="Times New Roman"/>
          <w:bCs/>
          <w:sz w:val="32"/>
          <w:szCs w:val="32"/>
          <w:lang w:eastAsia="zh-CN"/>
        </w:rPr>
      </w:pPr>
      <w:r>
        <w:rPr>
          <w:rFonts w:hint="eastAsia" w:ascii="仿宋_GB2312" w:hAnsi="Times New Roman" w:eastAsia="仿宋_GB2312" w:cs="Times New Roman"/>
          <w:bCs/>
          <w:sz w:val="32"/>
          <w:szCs w:val="32"/>
          <w:lang w:eastAsia="zh-CN"/>
        </w:rPr>
        <w:t>随着国家提出“大豆振兴计划”、“大豆科技自强行动计划”，以及国家一号文件及重要会议明确提出扩种大豆，自治区和兵团积极响应扩种大豆，相继设置大豆产业发展相关的项目，兵团印发了《兵团主要粮食作物高产创建三年行动方案》、《兵团大豆高产创建工作方案》，促进大豆产业的发展。新疆大豆的高产创建会对全国大豆高产起到引领带动作用，本规程的制定对新疆及全国大豆</w:t>
      </w:r>
      <w:r>
        <w:rPr>
          <w:rFonts w:hint="eastAsia" w:ascii="仿宋_GB2312" w:hAnsi="Times New Roman" w:eastAsia="仿宋_GB2312" w:cs="Times New Roman"/>
          <w:bCs/>
          <w:sz w:val="32"/>
          <w:szCs w:val="32"/>
          <w:lang w:val="en-US" w:eastAsia="zh-CN"/>
        </w:rPr>
        <w:t>产业</w:t>
      </w:r>
      <w:r>
        <w:rPr>
          <w:rFonts w:hint="eastAsia" w:ascii="仿宋_GB2312" w:hAnsi="Times New Roman" w:eastAsia="仿宋_GB2312" w:cs="Times New Roman"/>
          <w:bCs/>
          <w:sz w:val="32"/>
          <w:szCs w:val="32"/>
          <w:lang w:eastAsia="zh-CN"/>
        </w:rPr>
        <w:t>发展与产业振兴具有重要意义。</w:t>
      </w:r>
    </w:p>
    <w:p w14:paraId="53CBE18F">
      <w:pPr>
        <w:numPr>
          <w:ilvl w:val="0"/>
          <w:numId w:val="0"/>
        </w:numPr>
        <w:ind w:firstLine="640" w:firstLineChars="200"/>
        <w:rPr>
          <w:rFonts w:hint="eastAsia" w:ascii="黑体" w:hAnsi="黑体" w:eastAsia="黑体" w:cs="黑体"/>
          <w:b/>
          <w:bCs/>
          <w:sz w:val="32"/>
          <w:szCs w:val="32"/>
        </w:rPr>
      </w:pPr>
      <w:r>
        <w:rPr>
          <w:rFonts w:hint="eastAsia" w:ascii="黑体" w:hAnsi="黑体" w:eastAsia="黑体" w:cs="黑体"/>
          <w:b w:val="0"/>
          <w:bCs w:val="0"/>
          <w:sz w:val="32"/>
          <w:szCs w:val="32"/>
          <w:lang w:eastAsia="zh-CN"/>
        </w:rPr>
        <w:t>三、</w:t>
      </w:r>
      <w:r>
        <w:rPr>
          <w:rFonts w:hint="eastAsia" w:ascii="黑体" w:hAnsi="黑体" w:eastAsia="黑体" w:cs="黑体"/>
          <w:b w:val="0"/>
          <w:bCs w:val="0"/>
          <w:sz w:val="32"/>
          <w:szCs w:val="32"/>
        </w:rPr>
        <w:t>主要起草过程</w:t>
      </w:r>
    </w:p>
    <w:p w14:paraId="30C9CC5A">
      <w:pPr>
        <w:numPr>
          <w:ilvl w:val="0"/>
          <w:numId w:val="0"/>
        </w:num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kern w:val="2"/>
          <w:sz w:val="32"/>
          <w:szCs w:val="32"/>
          <w:lang w:val="en-US" w:eastAsia="zh-CN" w:bidi="ar-SA"/>
        </w:rPr>
        <w:t>（一）</w:t>
      </w:r>
      <w:r>
        <w:rPr>
          <w:rFonts w:hint="eastAsia" w:ascii="楷体_GB2312" w:hAnsi="Times New Roman" w:eastAsia="楷体_GB2312" w:cs="Times New Roman"/>
          <w:sz w:val="32"/>
          <w:szCs w:val="32"/>
        </w:rPr>
        <w:t>前期准备阶段</w:t>
      </w:r>
    </w:p>
    <w:p w14:paraId="31D26137">
      <w:pPr>
        <w:ind w:firstLine="640" w:firstLineChars="200"/>
        <w:rPr>
          <w:rFonts w:hint="eastAsia" w:ascii="仿宋_GB2312" w:hAnsi="Times New Roman" w:eastAsia="仿宋_GB2312" w:cs="Times New Roman"/>
          <w:bCs/>
          <w:sz w:val="32"/>
          <w:szCs w:val="32"/>
          <w:lang w:eastAsia="zh-CN"/>
        </w:rPr>
      </w:pPr>
      <w:r>
        <w:rPr>
          <w:rFonts w:hint="eastAsia" w:ascii="仿宋_GB2312" w:hAnsi="Times New Roman" w:eastAsia="仿宋_GB2312" w:cs="Times New Roman"/>
          <w:bCs/>
          <w:sz w:val="32"/>
          <w:szCs w:val="32"/>
          <w:lang w:eastAsia="zh-CN"/>
        </w:rPr>
        <w:t>高产栽培技术的建立是实现大豆单产突破的必要保障。</w:t>
      </w:r>
      <w:r>
        <w:rPr>
          <w:rFonts w:hint="eastAsia" w:ascii="仿宋_GB2312" w:hAnsi="Times New Roman" w:eastAsia="仿宋_GB2312" w:cs="Times New Roman"/>
          <w:bCs/>
          <w:sz w:val="32"/>
          <w:szCs w:val="32"/>
          <w:lang w:val="en-US" w:eastAsia="zh-CN"/>
        </w:rPr>
        <w:t>新疆农垦科学院自2007年</w:t>
      </w:r>
      <w:r>
        <w:rPr>
          <w:rFonts w:hint="eastAsia" w:ascii="仿宋_GB2312" w:hAnsi="Times New Roman" w:eastAsia="仿宋_GB2312" w:cs="Times New Roman"/>
          <w:bCs/>
          <w:sz w:val="32"/>
          <w:szCs w:val="32"/>
          <w:lang w:eastAsia="zh-CN"/>
        </w:rPr>
        <w:t>采用膜下滴灌技术，“中黄35”创造了亩产371.8kg的国内高产典型</w:t>
      </w:r>
      <w:r>
        <w:rPr>
          <w:rFonts w:hint="eastAsia" w:ascii="仿宋_GB2312" w:hAnsi="Times New Roman" w:eastAsia="仿宋_GB2312" w:cs="Times New Roman"/>
          <w:bCs/>
          <w:sz w:val="32"/>
          <w:szCs w:val="32"/>
          <w:lang w:val="en-US" w:eastAsia="zh-CN"/>
        </w:rPr>
        <w:t>后，</w:t>
      </w:r>
      <w:r>
        <w:rPr>
          <w:rFonts w:hint="eastAsia" w:ascii="仿宋_GB2312" w:hAnsi="Times New Roman" w:eastAsia="仿宋_GB2312" w:cs="Times New Roman"/>
          <w:bCs/>
          <w:sz w:val="32"/>
          <w:szCs w:val="32"/>
          <w:lang w:eastAsia="zh-CN"/>
        </w:rPr>
        <w:t>基于关键技术与中国农业科学院作物科学所合作，</w:t>
      </w:r>
      <w:r>
        <w:rPr>
          <w:rFonts w:hint="eastAsia" w:ascii="仿宋_GB2312" w:hAnsi="Times New Roman" w:eastAsia="仿宋_GB2312" w:cs="Times New Roman"/>
          <w:bCs/>
          <w:sz w:val="32"/>
          <w:szCs w:val="32"/>
          <w:lang w:val="en-US" w:eastAsia="zh-CN"/>
        </w:rPr>
        <w:t>开展春播大豆膜下滴灌水肥一体化技术研究，</w:t>
      </w:r>
      <w:r>
        <w:rPr>
          <w:rFonts w:hint="eastAsia" w:ascii="仿宋_GB2312" w:hAnsi="Times New Roman" w:eastAsia="仿宋_GB2312" w:cs="Times New Roman"/>
          <w:bCs/>
          <w:sz w:val="32"/>
          <w:szCs w:val="32"/>
          <w:lang w:eastAsia="zh-CN"/>
        </w:rPr>
        <w:t>采用高产大豆品种中黄35多次创造全国小面积大豆高产纪录，2009年402.5kg</w:t>
      </w:r>
      <w:r>
        <w:rPr>
          <w:rFonts w:hint="eastAsia" w:ascii="仿宋_GB2312" w:hAnsi="Times New Roman" w:eastAsia="仿宋_GB2312" w:cs="Times New Roman"/>
          <w:bCs/>
          <w:sz w:val="32"/>
          <w:szCs w:val="32"/>
          <w:lang w:val="en-US" w:eastAsia="zh-CN"/>
        </w:rPr>
        <w:t>/亩</w:t>
      </w:r>
      <w:r>
        <w:rPr>
          <w:rFonts w:hint="eastAsia" w:ascii="仿宋_GB2312" w:hAnsi="Times New Roman" w:eastAsia="仿宋_GB2312" w:cs="Times New Roman"/>
          <w:bCs/>
          <w:sz w:val="32"/>
          <w:szCs w:val="32"/>
          <w:lang w:eastAsia="zh-CN"/>
        </w:rPr>
        <w:t>、2010年405.8g</w:t>
      </w:r>
      <w:r>
        <w:rPr>
          <w:rFonts w:hint="eastAsia" w:ascii="仿宋_GB2312" w:hAnsi="Times New Roman" w:eastAsia="仿宋_GB2312" w:cs="Times New Roman"/>
          <w:bCs/>
          <w:sz w:val="32"/>
          <w:szCs w:val="32"/>
          <w:lang w:val="en-US" w:eastAsia="zh-CN"/>
        </w:rPr>
        <w:t>/亩</w:t>
      </w:r>
      <w:r>
        <w:rPr>
          <w:rFonts w:hint="eastAsia" w:ascii="仿宋_GB2312" w:hAnsi="Times New Roman" w:eastAsia="仿宋_GB2312" w:cs="Times New Roman"/>
          <w:bCs/>
          <w:sz w:val="32"/>
          <w:szCs w:val="32"/>
          <w:lang w:eastAsia="zh-CN"/>
        </w:rPr>
        <w:t>、2012年421.37g</w:t>
      </w:r>
      <w:r>
        <w:rPr>
          <w:rFonts w:hint="eastAsia" w:ascii="仿宋_GB2312" w:hAnsi="Times New Roman" w:eastAsia="仿宋_GB2312" w:cs="Times New Roman"/>
          <w:bCs/>
          <w:sz w:val="32"/>
          <w:szCs w:val="32"/>
          <w:lang w:val="en-US" w:eastAsia="zh-CN"/>
        </w:rPr>
        <w:t>/亩</w:t>
      </w:r>
      <w:r>
        <w:rPr>
          <w:rFonts w:hint="eastAsia" w:ascii="仿宋_GB2312" w:hAnsi="Times New Roman" w:eastAsia="仿宋_GB2312" w:cs="Times New Roman"/>
          <w:bCs/>
          <w:sz w:val="32"/>
          <w:szCs w:val="32"/>
          <w:lang w:eastAsia="zh-CN"/>
        </w:rPr>
        <w:t>、2013年417.89g</w:t>
      </w:r>
      <w:r>
        <w:rPr>
          <w:rFonts w:hint="eastAsia" w:ascii="仿宋_GB2312" w:hAnsi="Times New Roman" w:eastAsia="仿宋_GB2312" w:cs="Times New Roman"/>
          <w:bCs/>
          <w:sz w:val="32"/>
          <w:szCs w:val="32"/>
          <w:lang w:val="en-US" w:eastAsia="zh-CN"/>
        </w:rPr>
        <w:t>/亩</w:t>
      </w:r>
      <w:r>
        <w:rPr>
          <w:rFonts w:hint="eastAsia" w:ascii="仿宋_GB2312" w:hAnsi="Times New Roman" w:eastAsia="仿宋_GB2312" w:cs="Times New Roman"/>
          <w:bCs/>
          <w:sz w:val="32"/>
          <w:szCs w:val="32"/>
          <w:lang w:eastAsia="zh-CN"/>
        </w:rPr>
        <w:t>，逐步建立了“北疆棉区春大豆亩产320kg覆膜滴灌栽培技术模式”、“春大豆亩产350kg覆膜滴灌栽培技术”。基于建立的上述规程，在新疆伊犁、石河子等大豆主产区开展高产示范。2010年实现了86.83亩平均亩产364.68kg的高产；2011-2016年采用新大豆8号、中黄35和中黄30多次在石河子垦区及伊犁地区创造了亩产320-390kg的高产示范田块，最高测产点达431kg/亩，其中 2012年10亩中熟品种新大豆8号实收平均亩产量357.5kg，2013年3块滴灌大豆高产示范田中新大豆8号和吉育86亩产分别达到了379.7kg和367.1kg，中黄30亩产达到了349.5kg；2016年实现了4.199亩平均亩产量403.01kg，2020年实现了4.6亩平均亩产432kg的高产。</w:t>
      </w:r>
    </w:p>
    <w:p w14:paraId="29C62A12">
      <w:pPr>
        <w:numPr>
          <w:ilvl w:val="0"/>
          <w:numId w:val="0"/>
        </w:num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kern w:val="2"/>
          <w:sz w:val="32"/>
          <w:szCs w:val="32"/>
          <w:lang w:val="en-US" w:eastAsia="zh-CN" w:bidi="ar-SA"/>
        </w:rPr>
        <w:t>（二）</w:t>
      </w:r>
      <w:r>
        <w:rPr>
          <w:rFonts w:hint="eastAsia" w:ascii="楷体_GB2312" w:hAnsi="Times New Roman" w:eastAsia="楷体_GB2312" w:cs="Times New Roman"/>
          <w:sz w:val="32"/>
          <w:szCs w:val="32"/>
        </w:rPr>
        <w:t>标准立项阶段</w:t>
      </w:r>
    </w:p>
    <w:p w14:paraId="75C7D1C1">
      <w:pPr>
        <w:ind w:firstLine="640" w:firstLineChars="200"/>
        <w:rPr>
          <w:rFonts w:hint="eastAsia" w:ascii="仿宋_GB2312" w:hAnsi="Times New Roman" w:eastAsia="仿宋_GB2312" w:cs="Times New Roman"/>
          <w:bCs/>
          <w:sz w:val="32"/>
          <w:szCs w:val="32"/>
          <w:lang w:eastAsia="zh-CN"/>
        </w:rPr>
      </w:pPr>
      <w:r>
        <w:rPr>
          <w:rFonts w:hint="eastAsia" w:ascii="楷体_GB2312" w:hAnsi="Times New Roman" w:eastAsia="楷体_GB2312" w:cs="Times New Roman"/>
          <w:sz w:val="32"/>
          <w:szCs w:val="32"/>
          <w:lang w:val="en-US" w:eastAsia="zh-CN"/>
        </w:rPr>
        <w:t xml:space="preserve"> </w:t>
      </w:r>
      <w:r>
        <w:rPr>
          <w:rFonts w:hint="eastAsia" w:ascii="仿宋_GB2312" w:hAnsi="Times New Roman" w:eastAsia="仿宋_GB2312" w:cs="Times New Roman"/>
          <w:bCs/>
          <w:sz w:val="32"/>
          <w:szCs w:val="32"/>
          <w:lang w:val="en-US" w:eastAsia="zh-CN"/>
        </w:rPr>
        <w:t>2016年-2023年，项目组在全面调查、掌握新疆及兵团各地区大豆生产中存在问题的基础上，团队开展大豆膜下滴灌水肥一体化栽培技术研究，开展大豆生育期内3414水肥试验，研究不同灌水量及施肥量对大豆产量的影响，连续3年试验结果明确了大豆高产的最佳水肥投入量；开展大豆不同品种的种植密度研究，明确了不同品种大豆高产的适宜种植密度；开展大豆化学调控剂喷施时期及喷施用量研究，明确了大豆化控剂喷施的最佳时期及用量；开展大豆病虫害防治及叶面肥喷施的研究，有效降低大豆生育期内病虫害风险，增荚促粒重，提高大豆产量。通过对各项栽培技术分析整合，初步形成了“春大豆膜下滴灌水肥一体化栽培技术规程”。</w:t>
      </w:r>
    </w:p>
    <w:p w14:paraId="193C1713">
      <w:pPr>
        <w:numPr>
          <w:ilvl w:val="0"/>
          <w:numId w:val="0"/>
        </w:numPr>
        <w:ind w:firstLine="640" w:firstLineChars="200"/>
        <w:rPr>
          <w:rFonts w:hint="default" w:ascii="仿宋_GB2312" w:hAnsi="Times New Roman" w:eastAsia="仿宋_GB2312" w:cs="Times New Roman"/>
          <w:bCs/>
          <w:sz w:val="32"/>
          <w:szCs w:val="32"/>
          <w:lang w:val="en-US" w:eastAsia="zh-CN"/>
        </w:rPr>
      </w:pPr>
      <w:r>
        <w:rPr>
          <w:rFonts w:ascii="Times New Roman" w:hAnsi="Times New Roman" w:eastAsia="仿宋" w:cs="Times New Roman"/>
          <w:bCs/>
          <w:sz w:val="32"/>
          <w:szCs w:val="32"/>
          <w:lang w:eastAsia="zh-CN"/>
        </w:rPr>
        <w:t>20</w:t>
      </w:r>
      <w:r>
        <w:rPr>
          <w:rFonts w:hint="eastAsia" w:ascii="Times New Roman" w:hAnsi="Times New Roman" w:eastAsia="仿宋" w:cs="Times New Roman"/>
          <w:bCs/>
          <w:sz w:val="32"/>
          <w:szCs w:val="32"/>
          <w:lang w:val="en-US" w:eastAsia="zh-CN"/>
        </w:rPr>
        <w:t>20</w:t>
      </w:r>
      <w:r>
        <w:rPr>
          <w:rFonts w:ascii="Times New Roman" w:hAnsi="Times New Roman" w:eastAsia="仿宋" w:cs="Times New Roman"/>
          <w:bCs/>
          <w:sz w:val="32"/>
          <w:szCs w:val="32"/>
          <w:lang w:eastAsia="zh-CN"/>
        </w:rPr>
        <w:t>年</w:t>
      </w:r>
      <w:r>
        <w:rPr>
          <w:rFonts w:hint="eastAsia" w:ascii="Times New Roman" w:hAnsi="Times New Roman" w:eastAsia="仿宋" w:cs="Times New Roman"/>
          <w:bCs/>
          <w:sz w:val="32"/>
          <w:szCs w:val="32"/>
          <w:lang w:val="en-US" w:eastAsia="zh-CN"/>
        </w:rPr>
        <w:t>项目组</w:t>
      </w:r>
      <w:r>
        <w:rPr>
          <w:rFonts w:ascii="Times New Roman" w:hAnsi="Times New Roman" w:eastAsia="仿宋" w:cs="Times New Roman"/>
          <w:bCs/>
          <w:sz w:val="32"/>
          <w:szCs w:val="32"/>
          <w:lang w:eastAsia="zh-CN"/>
        </w:rPr>
        <w:t>成立标准制定小组，明确分工及进度。通过查阅相关文献资料及标准，确定技术路线、研究方法，</w:t>
      </w:r>
      <w:r>
        <w:rPr>
          <w:rFonts w:hint="eastAsia" w:ascii="仿宋_GB2312" w:hAnsi="Times New Roman" w:eastAsia="仿宋_GB2312" w:cs="Times New Roman"/>
          <w:bCs/>
          <w:sz w:val="32"/>
          <w:szCs w:val="32"/>
          <w:lang w:val="en-US" w:eastAsia="zh-CN"/>
        </w:rPr>
        <w:t>对已开展的各项试验进行分析汇总，并开展大豆高产创建，对集成的高产栽培技术进行验证并不断优化完善，于2023年结合生产实际，撰写了《春大豆膜下滴灌水肥一体化栽培技术规程》编制说明及规程草案，申报新疆维吾尔自治区2023年度地方标准制修订项目计划。本项地方标准于2023年7月获批立项，项目名称《春大豆膜下滴灌水肥一体化栽培技术(兵团范围）》，立项编号：XJ23-148。</w:t>
      </w:r>
    </w:p>
    <w:p w14:paraId="01ABAF47">
      <w:pPr>
        <w:numPr>
          <w:ilvl w:val="0"/>
          <w:numId w:val="0"/>
        </w:num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kern w:val="2"/>
          <w:sz w:val="32"/>
          <w:szCs w:val="32"/>
          <w:lang w:val="en-US" w:eastAsia="zh-CN" w:bidi="ar-SA"/>
        </w:rPr>
        <w:t>（三）</w:t>
      </w:r>
      <w:r>
        <w:rPr>
          <w:rFonts w:hint="eastAsia" w:ascii="楷体_GB2312" w:hAnsi="Times New Roman" w:eastAsia="楷体_GB2312" w:cs="Times New Roman"/>
          <w:sz w:val="32"/>
          <w:szCs w:val="32"/>
        </w:rPr>
        <w:t>初稿起草阶段</w:t>
      </w:r>
    </w:p>
    <w:p w14:paraId="44E847AE">
      <w:pPr>
        <w:numPr>
          <w:ilvl w:val="0"/>
          <w:numId w:val="0"/>
        </w:numPr>
        <w:ind w:firstLine="640" w:firstLineChars="200"/>
        <w:rPr>
          <w:rFonts w:hint="default"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2023年7月-2024年8月期间，标准标志小组成员按照任务分工，对《春大豆膜下滴灌水肥一体化栽培技术(兵团范围）》草案稿进行编制及修改校对，并邀请行业有关专家对草案稿初稿进行审阅修改，多次校正后，于2024年9月形成《春大豆膜下滴灌水肥一体化栽培技术(兵团范围）》征求意见稿。</w:t>
      </w:r>
    </w:p>
    <w:p w14:paraId="6C194BF7">
      <w:pPr>
        <w:numPr>
          <w:ilvl w:val="0"/>
          <w:numId w:val="0"/>
        </w:num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kern w:val="2"/>
          <w:sz w:val="32"/>
          <w:szCs w:val="32"/>
          <w:lang w:val="en-US" w:eastAsia="zh-CN" w:bidi="ar-SA"/>
        </w:rPr>
        <w:t>（四）</w:t>
      </w:r>
      <w:r>
        <w:rPr>
          <w:rFonts w:hint="eastAsia" w:ascii="楷体_GB2312" w:hAnsi="Times New Roman" w:eastAsia="楷体_GB2312" w:cs="Times New Roman"/>
          <w:sz w:val="32"/>
          <w:szCs w:val="32"/>
        </w:rPr>
        <w:t>试验研究阶段</w:t>
      </w:r>
    </w:p>
    <w:p w14:paraId="7F49C6F2">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项目团队采用集成春大豆膜下滴灌水肥一体化高产栽培技术开展高产创建，2016年，选育高产品种“吉育86”采用密植高产技术，实现大豆415kg/亩高产；2017年，选育高产品种“吉育86”优化增密、控高技术，实现大豆418kg/亩高产；2020年，选育高产品种“吉育86”优化增密、控高、保粒重技术，实现大豆453.54kg/亩高产；2023年，采用高产品种“龙垦324”，优化增密、降高、系统化调技术，大豆产量467.24kg/亩，创全国大豆高产新记录，创全国单产记录；新振豆1号产量为 420.38公斤/亩，创全国百亩示范高产记录；在第八师147团19连种植的新大豆23号462亩，平均产量403.48kg/亩，68团种植的新大豆26号，平均产量447.96kg/亩；2024年，“新大豆23号”超高产创建示范田，百亩田实收面积22.55亩，产量为439.17kg/亩；千亩方实收面积163.98亩，产量为400.05kg/亩，创全国大豆百亩方和千亩方高产纪录。</w:t>
      </w:r>
    </w:p>
    <w:p w14:paraId="7B74972B">
      <w:pPr>
        <w:numPr>
          <w:ilvl w:val="0"/>
          <w:numId w:val="0"/>
        </w:num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kern w:val="2"/>
          <w:sz w:val="32"/>
          <w:szCs w:val="32"/>
          <w:lang w:val="en-US" w:eastAsia="zh-CN" w:bidi="ar-SA"/>
        </w:rPr>
        <w:t>（五）</w:t>
      </w:r>
      <w:r>
        <w:rPr>
          <w:rFonts w:hint="eastAsia" w:ascii="楷体_GB2312" w:hAnsi="Times New Roman" w:eastAsia="楷体_GB2312" w:cs="Times New Roman"/>
          <w:sz w:val="32"/>
          <w:szCs w:val="32"/>
        </w:rPr>
        <w:t>征求意见阶段</w:t>
      </w:r>
    </w:p>
    <w:p w14:paraId="3CA54F0F">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2024年10月，征求了兵团农业农村局、兵团农业技术推广总站、第一师农业农村局、第三师农业科学研究所、第八师农业农村局、新疆农业大学、新疆农业科学院农作物品种资源研究所、石河子大学农学院、塔里木大学农学院等单位专业技术人员意见建议，截至10月</w:t>
      </w:r>
      <w:r>
        <w:rPr>
          <w:rFonts w:hint="eastAsia" w:ascii="仿宋_GB2312" w:eastAsia="仿宋_GB2312" w:cs="Times New Roman"/>
          <w:bCs/>
          <w:sz w:val="32"/>
          <w:szCs w:val="32"/>
          <w:lang w:val="en-US" w:eastAsia="zh-CN"/>
        </w:rPr>
        <w:t>15日</w:t>
      </w:r>
      <w:r>
        <w:rPr>
          <w:rFonts w:hint="eastAsia" w:ascii="仿宋_GB2312" w:hAnsi="Times New Roman" w:eastAsia="仿宋_GB2312" w:cs="Times New Roman"/>
          <w:bCs/>
          <w:sz w:val="32"/>
          <w:szCs w:val="32"/>
          <w:lang w:val="en-US" w:eastAsia="zh-CN"/>
        </w:rPr>
        <w:t>，共收到相关意见和建议</w:t>
      </w:r>
      <w:r>
        <w:rPr>
          <w:rFonts w:hint="eastAsia" w:ascii="仿宋_GB2312" w:eastAsia="仿宋_GB2312" w:cs="Times New Roman"/>
          <w:bCs/>
          <w:sz w:val="32"/>
          <w:szCs w:val="32"/>
          <w:lang w:val="en-US" w:eastAsia="zh-CN"/>
        </w:rPr>
        <w:t>101</w:t>
      </w:r>
      <w:r>
        <w:rPr>
          <w:rFonts w:hint="eastAsia" w:ascii="仿宋_GB2312" w:hAnsi="Times New Roman" w:eastAsia="仿宋_GB2312" w:cs="Times New Roman"/>
          <w:bCs/>
          <w:sz w:val="32"/>
          <w:szCs w:val="32"/>
          <w:lang w:val="en-US" w:eastAsia="zh-CN"/>
        </w:rPr>
        <w:t>条。起草组对收集到的意见进行了逐条分析、认真修改和补充完善，采纳</w:t>
      </w:r>
      <w:r>
        <w:rPr>
          <w:rFonts w:hint="eastAsia" w:ascii="仿宋_GB2312" w:eastAsia="仿宋_GB2312" w:cs="Times New Roman"/>
          <w:bCs/>
          <w:sz w:val="32"/>
          <w:szCs w:val="32"/>
          <w:lang w:val="en-US" w:eastAsia="zh-CN"/>
        </w:rPr>
        <w:t>95</w:t>
      </w:r>
      <w:r>
        <w:rPr>
          <w:rFonts w:hint="eastAsia" w:ascii="仿宋_GB2312" w:hAnsi="Times New Roman" w:eastAsia="仿宋_GB2312" w:cs="Times New Roman"/>
          <w:bCs/>
          <w:sz w:val="32"/>
          <w:szCs w:val="32"/>
          <w:lang w:val="en-US" w:eastAsia="zh-CN"/>
        </w:rPr>
        <w:t>条，未予采纳</w:t>
      </w:r>
      <w:r>
        <w:rPr>
          <w:rFonts w:hint="eastAsia" w:ascii="仿宋_GB2312" w:eastAsia="仿宋_GB2312" w:cs="Times New Roman"/>
          <w:bCs/>
          <w:sz w:val="32"/>
          <w:szCs w:val="32"/>
          <w:lang w:val="en-US" w:eastAsia="zh-CN"/>
        </w:rPr>
        <w:t>6</w:t>
      </w:r>
      <w:r>
        <w:rPr>
          <w:rFonts w:hint="eastAsia" w:ascii="仿宋_GB2312" w:hAnsi="Times New Roman" w:eastAsia="仿宋_GB2312" w:cs="Times New Roman"/>
          <w:bCs/>
          <w:sz w:val="32"/>
          <w:szCs w:val="32"/>
          <w:lang w:val="en-US" w:eastAsia="zh-CN"/>
        </w:rPr>
        <w:t>条，于2024年10月</w:t>
      </w:r>
      <w:r>
        <w:rPr>
          <w:rFonts w:hint="eastAsia" w:ascii="仿宋_GB2312" w:eastAsia="仿宋_GB2312" w:cs="Times New Roman"/>
          <w:bCs/>
          <w:sz w:val="32"/>
          <w:szCs w:val="32"/>
          <w:lang w:val="en-US" w:eastAsia="zh-CN"/>
        </w:rPr>
        <w:t>20日</w:t>
      </w:r>
      <w:r>
        <w:rPr>
          <w:rFonts w:hint="eastAsia" w:ascii="仿宋_GB2312" w:hAnsi="Times New Roman" w:eastAsia="仿宋_GB2312" w:cs="Times New Roman"/>
          <w:bCs/>
          <w:sz w:val="32"/>
          <w:szCs w:val="32"/>
          <w:lang w:val="en-US" w:eastAsia="zh-CN"/>
        </w:rPr>
        <w:t>形成了标准送审稿（征求意见汇总表见附录1）。</w:t>
      </w:r>
    </w:p>
    <w:p w14:paraId="7BC5580F">
      <w:pPr>
        <w:spacing w:line="560"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（六）标准审定阶段</w:t>
      </w:r>
    </w:p>
    <w:p w14:paraId="6A767B1A">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2024年10月20日，新疆维吾尔自治区市场监督管理局组织</w:t>
      </w:r>
      <w:r>
        <w:rPr>
          <w:rFonts w:hint="eastAsia" w:ascii="仿宋_GB2312" w:eastAsia="仿宋_GB2312" w:cs="Times New Roman"/>
          <w:bCs/>
          <w:sz w:val="32"/>
          <w:szCs w:val="32"/>
          <w:lang w:val="en-US" w:eastAsia="zh-CN"/>
        </w:rPr>
        <w:t>兵团农业技术推</w:t>
      </w:r>
      <w:r>
        <w:rPr>
          <w:rFonts w:hint="eastAsia" w:ascii="仿宋_GB2312" w:eastAsia="仿宋_GB2312" w:cs="Times New Roman"/>
          <w:bCs/>
          <w:sz w:val="32"/>
          <w:szCs w:val="32"/>
          <w:shd w:val="clear"/>
          <w:lang w:val="en-US" w:eastAsia="zh-CN"/>
        </w:rPr>
        <w:t>广总站、石河子大学</w:t>
      </w:r>
      <w:r>
        <w:rPr>
          <w:rFonts w:hint="eastAsia" w:ascii="仿宋_GB2312" w:hAnsi="Times New Roman" w:eastAsia="仿宋_GB2312" w:cs="Times New Roman"/>
          <w:bCs/>
          <w:sz w:val="32"/>
          <w:szCs w:val="32"/>
          <w:shd w:val="clear"/>
          <w:lang w:val="en-US" w:eastAsia="zh-CN"/>
        </w:rPr>
        <w:t>等</w:t>
      </w:r>
      <w:r>
        <w:rPr>
          <w:rFonts w:hint="eastAsia" w:ascii="仿宋_GB2312" w:eastAsia="仿宋_GB2312" w:cs="Times New Roman"/>
          <w:bCs/>
          <w:sz w:val="32"/>
          <w:szCs w:val="32"/>
          <w:shd w:val="clear"/>
          <w:lang w:val="en-US" w:eastAsia="zh-CN"/>
        </w:rPr>
        <w:t>相关</w:t>
      </w:r>
      <w:r>
        <w:rPr>
          <w:rFonts w:hint="eastAsia" w:ascii="仿宋_GB2312" w:hAnsi="Times New Roman" w:eastAsia="仿宋_GB2312" w:cs="Times New Roman"/>
          <w:bCs/>
          <w:sz w:val="32"/>
          <w:szCs w:val="32"/>
          <w:shd w:val="clear"/>
          <w:lang w:val="en-US" w:eastAsia="zh-CN"/>
        </w:rPr>
        <w:t>单位的</w:t>
      </w:r>
      <w:r>
        <w:rPr>
          <w:rFonts w:hint="eastAsia" w:ascii="仿宋_GB2312" w:eastAsia="仿宋_GB2312" w:cs="Times New Roman"/>
          <w:bCs/>
          <w:sz w:val="32"/>
          <w:szCs w:val="32"/>
          <w:shd w:val="clear"/>
          <w:lang w:val="en-US" w:eastAsia="zh-CN"/>
        </w:rPr>
        <w:t>7</w:t>
      </w:r>
      <w:r>
        <w:rPr>
          <w:rFonts w:hint="eastAsia" w:ascii="仿宋_GB2312" w:hAnsi="Times New Roman" w:eastAsia="仿宋_GB2312" w:cs="Times New Roman"/>
          <w:bCs/>
          <w:sz w:val="32"/>
          <w:szCs w:val="32"/>
          <w:lang w:val="en-US" w:eastAsia="zh-CN"/>
        </w:rPr>
        <w:t>位专家组成专家组，对新疆农垦科学院提出的《春大豆膜下滴灌水肥一体化栽培技术(兵团范围）》地方标准送审稿进行审定。与会专家在认真审阅书面材料，听取标准起草组汇报、答疑的基础上，对标准逐章、逐条进行了审定，经过充分讨论和审议形成《春大豆膜下滴灌水肥一体化栽培技术(兵团范围）》审定会会议纪要，根据会议纪要，起草组按照专家意见对标准进行修改和完善，待专家组组长确认后，形成报批稿，报新疆维吾尔自治区市场监督管理局批准、发布。</w:t>
      </w:r>
    </w:p>
    <w:p w14:paraId="3D45736E">
      <w:pPr>
        <w:ind w:firstLine="640" w:firstLineChars="200"/>
        <w:rPr>
          <w:rFonts w:hint="eastAsia" w:ascii="黑体" w:hAnsi="黑体" w:eastAsia="黑体" w:cs="黑体"/>
          <w:b/>
          <w:bCs/>
          <w:color w:val="FF0000"/>
          <w:sz w:val="32"/>
          <w:szCs w:val="32"/>
        </w:rPr>
      </w:pPr>
      <w:r>
        <w:rPr>
          <w:rFonts w:hint="eastAsia" w:ascii="黑体" w:hAnsi="黑体" w:eastAsia="黑体" w:cs="黑体"/>
          <w:b w:val="0"/>
          <w:bCs w:val="0"/>
          <w:sz w:val="32"/>
          <w:szCs w:val="32"/>
          <w:lang w:eastAsia="zh-CN"/>
        </w:rPr>
        <w:t>四、制定（修订）</w:t>
      </w:r>
      <w:r>
        <w:rPr>
          <w:rFonts w:hint="eastAsia" w:ascii="黑体" w:hAnsi="黑体" w:eastAsia="黑体" w:cs="黑体"/>
          <w:b w:val="0"/>
          <w:bCs w:val="0"/>
          <w:sz w:val="32"/>
          <w:szCs w:val="32"/>
        </w:rPr>
        <w:t>标准的原则和依据，与现行法律、法规、标准的关系</w:t>
      </w:r>
    </w:p>
    <w:p w14:paraId="27065841">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1、制定标准的原则（科学性、规范性、时效性等）</w:t>
      </w:r>
    </w:p>
    <w:p w14:paraId="0CC30628">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本标准根据GB/T 1.1《标准化工作导则第1部分：标准的结构和编写》的要求和规定编写本标准的内容，遵循标准制定过程中的科学性、先进性、经济性和适用性的原则。本标准制定过程中所采用的施肥量、灌水量以及关键时期的除草、化控、虫害防治均通过试验数据和生产实践获得，可为标准内容的科学性提供有力保障。编制过程中收集和查阅了相关标准制定的文献资料，汇总、整理了大豆生产中需水需肥的特点与成果，通过多次、多点的试验、示范，对主要技术指标进行了验证，并进行了多次修改与校正，使本标准具有较强的适应性、科学性、实用性，做到技术可行，指标准确，标准内容通俗易懂，便于操作。</w:t>
      </w:r>
    </w:p>
    <w:p w14:paraId="3563433F">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2、制定标准的依据（依据的相关法律、法规、规章制度、基础标准、重要标准、参考文献等）</w:t>
      </w:r>
    </w:p>
    <w:p w14:paraId="714E84B1">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（1）根据农田灌溉水质标准（GB 5084），规定了滴灌的灌溉水质要求，同时对所采用的灌溉技术和灌溉量进行了要求；</w:t>
      </w:r>
    </w:p>
    <w:p w14:paraId="7DFA463A">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（2）本标准选用符合GB 4285农药安全使用标准要求的除草剂，于耙地前地表直接喷雾；</w:t>
      </w:r>
    </w:p>
    <w:p w14:paraId="36AD354E">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（3）本标准遵循安全施药技术规范（NY/T 1923、NY/T 1876、NY/T 1225）的要求，对田间病虫草害进行防控；</w:t>
      </w:r>
    </w:p>
    <w:p w14:paraId="78842661">
      <w:pPr>
        <w:numPr>
          <w:ilvl w:val="0"/>
          <w:numId w:val="0"/>
        </w:numPr>
        <w:ind w:firstLine="640" w:firstLineChars="200"/>
        <w:rPr>
          <w:rFonts w:hint="default"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（4）本标准遵循GB4404.2《粮食作物种子》，规定了大豆种子选用符合标准、籽粒均匀饱满和粒型均匀一致的种子；</w:t>
      </w:r>
    </w:p>
    <w:p w14:paraId="0B9FA459">
      <w:pPr>
        <w:numPr>
          <w:ilvl w:val="0"/>
          <w:numId w:val="0"/>
        </w:numPr>
        <w:ind w:left="0" w:leftChars="0" w:firstLine="640" w:firstLineChars="200"/>
        <w:rPr>
          <w:rFonts w:hint="eastAsia" w:ascii="仿宋_GB2312" w:eastAsia="仿宋_GB2312"/>
          <w:color w:val="auto"/>
          <w:sz w:val="32"/>
          <w:szCs w:val="32"/>
          <w:lang w:val="en-US" w:eastAsia="zh-CN"/>
        </w:rPr>
      </w:pPr>
      <w:r>
        <w:rPr>
          <w:rFonts w:hint="eastAsia" w:ascii="仿宋_GB2312" w:eastAsia="仿宋_GB2312"/>
          <w:color w:val="auto"/>
          <w:kern w:val="2"/>
          <w:sz w:val="32"/>
          <w:szCs w:val="32"/>
          <w:lang w:val="en-US" w:eastAsia="zh-CN" w:bidi="ar-SA"/>
        </w:rPr>
        <w:t>3、</w:t>
      </w:r>
      <w:r>
        <w:rPr>
          <w:rFonts w:hint="eastAsia" w:ascii="仿宋_GB2312" w:eastAsia="仿宋_GB2312"/>
          <w:color w:val="auto"/>
          <w:sz w:val="32"/>
          <w:szCs w:val="32"/>
          <w:lang w:val="en-US" w:eastAsia="zh-CN"/>
        </w:rPr>
        <w:t>与现行法律、法规、标准的关系</w:t>
      </w:r>
    </w:p>
    <w:p w14:paraId="28A093E8">
      <w:pPr>
        <w:widowControl w:val="0"/>
        <w:numPr>
          <w:ilvl w:val="0"/>
          <w:numId w:val="0"/>
        </w:numPr>
        <w:ind w:firstLine="640" w:firstLineChars="200"/>
        <w:jc w:val="both"/>
        <w:rPr>
          <w:rFonts w:hint="eastAsia" w:ascii="仿宋_GB2312" w:eastAsia="仿宋_GB2312"/>
          <w:color w:val="auto"/>
          <w:sz w:val="32"/>
          <w:szCs w:val="32"/>
          <w:lang w:val="en-US" w:eastAsia="zh-CN"/>
        </w:rPr>
      </w:pPr>
      <w:r>
        <w:rPr>
          <w:rFonts w:ascii="Times New Roman" w:hAnsi="Times New Roman" w:eastAsia="仿宋" w:cs="Times New Roman"/>
          <w:bCs/>
          <w:sz w:val="32"/>
          <w:szCs w:val="32"/>
          <w:lang w:eastAsia="zh-CN"/>
        </w:rPr>
        <w:t>本标准依据现行的法律、法规和标准制定，各项内容与其没有冲突。</w:t>
      </w:r>
    </w:p>
    <w:p w14:paraId="554F2856">
      <w:pPr>
        <w:ind w:firstLine="640" w:firstLineChars="200"/>
        <w:rPr>
          <w:rFonts w:hint="eastAsia" w:ascii="仿宋_GB2312" w:eastAsia="仿宋_GB2312"/>
          <w:sz w:val="28"/>
        </w:rPr>
      </w:pPr>
      <w:r>
        <w:rPr>
          <w:rFonts w:hint="eastAsia" w:ascii="黑体" w:hAnsi="黑体" w:eastAsia="黑体" w:cs="黑体"/>
          <w:b w:val="0"/>
          <w:bCs w:val="0"/>
          <w:sz w:val="32"/>
          <w:szCs w:val="32"/>
          <w:lang w:eastAsia="zh-CN"/>
        </w:rPr>
        <w:t xml:space="preserve">五、主要条款的说明 </w:t>
      </w:r>
      <w:r>
        <w:rPr>
          <w:rFonts w:hint="eastAsia" w:ascii="仿宋_GB2312" w:eastAsia="仿宋_GB2312"/>
          <w:b w:val="0"/>
          <w:bCs w:val="0"/>
          <w:color w:val="FF0000"/>
          <w:sz w:val="28"/>
        </w:rPr>
        <w:t xml:space="preserve"> </w:t>
      </w:r>
    </w:p>
    <w:p w14:paraId="629FD60A">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eastAsia="zh-CN"/>
        </w:rPr>
        <w:t>.</w:t>
      </w:r>
      <w:r>
        <w:rPr>
          <w:rFonts w:hint="eastAsia" w:ascii="仿宋_GB2312" w:eastAsia="仿宋_GB2312"/>
          <w:color w:val="auto"/>
          <w:sz w:val="32"/>
          <w:szCs w:val="32"/>
        </w:rPr>
        <w:t>范围编制说明</w:t>
      </w:r>
    </w:p>
    <w:p w14:paraId="73BBB9A7">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范围中规定本标准的技术规范条目和适用区域。</w:t>
      </w:r>
    </w:p>
    <w:p w14:paraId="307ABAB2">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2</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规范性引用文件编制说明</w:t>
      </w:r>
    </w:p>
    <w:p w14:paraId="0FD0276E">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春大豆膜下滴灌水肥一体化栽培技术必须符合规范性文件引用的标准才能进行应用，引用文件对本规范必不可少。</w:t>
      </w:r>
    </w:p>
    <w:p w14:paraId="13317847">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3</w:t>
      </w:r>
      <w:r>
        <w:rPr>
          <w:rFonts w:hint="eastAsia" w:ascii="仿宋_GB2312" w:eastAsia="仿宋_GB2312"/>
          <w:color w:val="auto"/>
          <w:sz w:val="32"/>
          <w:szCs w:val="32"/>
          <w:lang w:eastAsia="zh-CN"/>
        </w:rPr>
        <w:t>.</w:t>
      </w:r>
      <w:r>
        <w:rPr>
          <w:rFonts w:hint="eastAsia" w:ascii="仿宋_GB2312" w:eastAsia="仿宋_GB2312"/>
          <w:color w:val="auto"/>
          <w:sz w:val="32"/>
          <w:szCs w:val="32"/>
        </w:rPr>
        <w:t>术语和定义编制说明</w:t>
      </w:r>
    </w:p>
    <w:p w14:paraId="37DC1D9A">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对规范所用术语进行了定义，包括春大豆、膜下滴灌等。</w:t>
      </w:r>
    </w:p>
    <w:p w14:paraId="45D2F5EC">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4</w:t>
      </w:r>
      <w:r>
        <w:rPr>
          <w:rFonts w:hint="eastAsia" w:ascii="仿宋_GB2312" w:eastAsia="仿宋_GB2312"/>
          <w:color w:val="auto"/>
          <w:sz w:val="32"/>
          <w:szCs w:val="32"/>
          <w:lang w:eastAsia="zh-CN"/>
        </w:rPr>
        <w:t>.</w:t>
      </w:r>
      <w:r>
        <w:rPr>
          <w:rFonts w:hint="eastAsia" w:ascii="仿宋_GB2312" w:eastAsia="仿宋_GB2312"/>
          <w:color w:val="auto"/>
          <w:sz w:val="32"/>
          <w:szCs w:val="32"/>
        </w:rPr>
        <w:t>目标产量、产量构成及肥水指标编制说明</w:t>
      </w:r>
    </w:p>
    <w:p w14:paraId="1DC4BE26">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包括目标产量、大豆品种、产量构成、施肥量和灌水量五个部分。</w:t>
      </w:r>
    </w:p>
    <w:p w14:paraId="4062CA38">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目标产量根据当地中上产量水平制定；大豆品种是根据当地生产及高产示范筛选出的品种；产量构成是依据新疆膜下滴灌条件下田间调查的数据。</w:t>
      </w:r>
    </w:p>
    <w:p w14:paraId="153A5C61">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施肥量依据（1）目标产量需养量（kg）＝ 目标产量（kg）×生产100kg大豆所需养分量/100；每生产100公斤大豆吸收氮、磷、钾公斤数量分别为：8.1-10.1、1.8-3、2.9-6.3。（2）土壤供肥量（kg）＝田间养分测定值× 0.15。（3）肥料利用率（％）：尿素45-50%、二铵氮50%磷30% 、过磷酸钙25%、硫酸钾50%、有机肥20-30%。（4）目标产量施肥量＝（目标产量需养量－土壤供肥量）/（肥料养分含量×肥料利用率）。</w:t>
      </w:r>
    </w:p>
    <w:p w14:paraId="33A6D140">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灌水量依据当地轮灌制度及大豆生育阶段需水规律，正常情况下播种后滴水出苗，开花进头水，此后7－10天一水，以单行湿润峰相接为宜。</w:t>
      </w:r>
    </w:p>
    <w:p w14:paraId="2AEA23A8">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5</w:t>
      </w:r>
      <w:r>
        <w:rPr>
          <w:rFonts w:hint="eastAsia" w:ascii="仿宋_GB2312" w:eastAsia="仿宋_GB2312"/>
          <w:color w:val="auto"/>
          <w:sz w:val="32"/>
          <w:szCs w:val="32"/>
          <w:lang w:eastAsia="zh-CN"/>
        </w:rPr>
        <w:t>.</w:t>
      </w:r>
      <w:r>
        <w:rPr>
          <w:rFonts w:hint="eastAsia" w:ascii="仿宋_GB2312" w:eastAsia="仿宋_GB2312"/>
          <w:color w:val="auto"/>
          <w:sz w:val="32"/>
          <w:szCs w:val="32"/>
        </w:rPr>
        <w:t>栽培技术编制说明</w:t>
      </w:r>
    </w:p>
    <w:p w14:paraId="3E8DA312">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土地准备、种子准备、播种、田间管理、病虫害防治五个部分。</w:t>
      </w:r>
    </w:p>
    <w:p w14:paraId="47A6F0C5">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土地条件要满足GB 15618土壤环境质量标准， 同时针对大豆生长要求，从选地、翻耕晒垡、土壤封闭、整地待播等4个方面进行规范性要求。</w:t>
      </w:r>
    </w:p>
    <w:p w14:paraId="320B952B">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种子准备。（1）品种选择要严格按照品种区域布局规划要求，不可跨区种植，因为大豆光温反应敏感；根据粮食作物种子 第2部分：豆类（GB 4404.2）标准要求，选用符合标准、籽粒均匀饱满和粒型均匀一致的种子；为有效防治地下病害虫，可选用大豆专用种衣剂，按要求拌种后播种。（2）播种要求适期播种并规定了5cm地温的适宜温度，干播湿出，播种时选用规定模式的精量播种机播种；规定了播种量和播种深度。（3）田间管理，规范了出苗期的滴水出苗、查苗种和中耕除草，对开花后的管理对合理灌水、科学追肥、叶面喷肥、化学调控等四个技术措施提出规范性要求，规定了施用时期、施用方式和使用量。（4）病虫害防治规定了防治原则、农业防治要求、化学防治的对象及相应的药剂与剂量。</w:t>
      </w:r>
    </w:p>
    <w:p w14:paraId="0F264616">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6</w:t>
      </w:r>
      <w:r>
        <w:rPr>
          <w:rFonts w:hint="eastAsia" w:ascii="仿宋_GB2312" w:eastAsia="仿宋_GB2312"/>
          <w:color w:val="auto"/>
          <w:sz w:val="32"/>
          <w:szCs w:val="32"/>
          <w:lang w:eastAsia="zh-CN"/>
        </w:rPr>
        <w:t>.</w:t>
      </w:r>
      <w:r>
        <w:rPr>
          <w:rFonts w:hint="eastAsia" w:ascii="仿宋_GB2312" w:eastAsia="仿宋_GB2312"/>
          <w:color w:val="auto"/>
          <w:sz w:val="32"/>
          <w:szCs w:val="32"/>
        </w:rPr>
        <w:t>收获编制说明</w:t>
      </w:r>
    </w:p>
    <w:p w14:paraId="771DB332">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规定了收获的时期、收获机械的参数要求及收获质量要求。</w:t>
      </w:r>
    </w:p>
    <w:p w14:paraId="37A379FE">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该标准在广泛的田间调研、小区试验和多年高产创建示范结果条件下完成，和常规技术相比，应用标准技术可</w:t>
      </w:r>
      <w:r>
        <w:rPr>
          <w:rFonts w:hint="eastAsia" w:ascii="仿宋_GB2312" w:eastAsia="仿宋_GB2312"/>
          <w:color w:val="auto"/>
          <w:sz w:val="32"/>
          <w:szCs w:val="32"/>
          <w:lang w:val="en-US" w:eastAsia="zh-CN"/>
        </w:rPr>
        <w:t>使大豆</w:t>
      </w:r>
      <w:r>
        <w:rPr>
          <w:rFonts w:hint="eastAsia" w:ascii="仿宋_GB2312" w:eastAsia="仿宋_GB2312"/>
          <w:color w:val="auto"/>
          <w:sz w:val="32"/>
          <w:szCs w:val="32"/>
        </w:rPr>
        <w:t>增产15%以上，水分、肥料利用率提高15%以上，亩增收节支300元以上，同时大豆大量的根茬、落叶及收获时的秸秆全量还田且覆盖在耕层表面，可有效提高土壤质量提升土壤疏松度，提高土壤蓄水保墒能力，土壤肥力不断提高，为下茬作物提质增效打下坚实基础。</w:t>
      </w:r>
    </w:p>
    <w:p w14:paraId="4A52033B">
      <w:pPr>
        <w:ind w:firstLine="640" w:firstLineChars="200"/>
        <w:rPr>
          <w:rFonts w:hint="eastAsia" w:ascii="仿宋_GB2312" w:eastAsia="仿宋_GB2312"/>
          <w:sz w:val="32"/>
          <w:szCs w:val="32"/>
        </w:rPr>
      </w:pPr>
      <w:r>
        <w:rPr>
          <w:rFonts w:hint="eastAsia" w:ascii="黑体" w:hAnsi="黑体" w:eastAsia="黑体" w:cs="黑体"/>
          <w:b w:val="0"/>
          <w:bCs w:val="0"/>
          <w:sz w:val="32"/>
          <w:szCs w:val="32"/>
          <w:lang w:eastAsia="zh-CN"/>
        </w:rPr>
        <w:t>六、重大意见分歧的处理依据和结果</w:t>
      </w:r>
    </w:p>
    <w:p w14:paraId="4E30FA92">
      <w:pPr>
        <w:ind w:firstLine="640" w:firstLineChars="200"/>
        <w:rPr>
          <w:rFonts w:hint="eastAsia" w:ascii="仿宋_GB2312" w:eastAsia="仿宋_GB2312"/>
          <w:sz w:val="32"/>
          <w:szCs w:val="32"/>
          <w:lang w:eastAsia="zh-CN"/>
        </w:rPr>
      </w:pPr>
      <w:r>
        <w:rPr>
          <w:rFonts w:hint="eastAsia" w:ascii="仿宋_GB2312" w:eastAsia="仿宋_GB2312"/>
          <w:sz w:val="32"/>
          <w:szCs w:val="32"/>
        </w:rPr>
        <w:t>2024年</w:t>
      </w:r>
      <w:r>
        <w:rPr>
          <w:rFonts w:hint="eastAsia" w:ascii="仿宋_GB2312" w:eastAsia="仿宋_GB2312"/>
          <w:sz w:val="32"/>
          <w:szCs w:val="32"/>
          <w:lang w:val="en-US" w:eastAsia="zh-CN"/>
        </w:rPr>
        <w:t>10</w:t>
      </w:r>
      <w:r>
        <w:rPr>
          <w:rFonts w:hint="eastAsia" w:ascii="仿宋_GB2312" w:eastAsia="仿宋_GB2312"/>
          <w:sz w:val="32"/>
          <w:szCs w:val="32"/>
        </w:rPr>
        <w:t>月5日-</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15</w:t>
      </w:r>
      <w:r>
        <w:rPr>
          <w:rFonts w:hint="eastAsia" w:ascii="仿宋_GB2312" w:eastAsia="仿宋_GB2312"/>
          <w:sz w:val="32"/>
          <w:szCs w:val="32"/>
        </w:rPr>
        <w:t>日广泛征求了新疆生产建设兵团农业农村局（行业主管）、新疆生产建设兵团农业技术推广总站（行业主管）、新疆生产建设</w:t>
      </w:r>
      <w:r>
        <w:rPr>
          <w:rFonts w:hint="eastAsia" w:ascii="仿宋_GB2312" w:eastAsia="仿宋_GB2312"/>
          <w:sz w:val="32"/>
          <w:szCs w:val="32"/>
          <w:lang w:val="en-US" w:eastAsia="zh-CN"/>
        </w:rPr>
        <w:t>第一师农业农村局</w:t>
      </w:r>
      <w:r>
        <w:rPr>
          <w:rFonts w:hint="eastAsia" w:ascii="仿宋_GB2312" w:eastAsia="仿宋_GB2312"/>
          <w:sz w:val="32"/>
          <w:szCs w:val="32"/>
        </w:rPr>
        <w:t>（使用）、第三师农业科学研究所（使用）、第七师农业</w:t>
      </w:r>
      <w:r>
        <w:rPr>
          <w:rFonts w:hint="eastAsia" w:ascii="仿宋_GB2312" w:eastAsia="仿宋_GB2312"/>
          <w:sz w:val="32"/>
          <w:szCs w:val="32"/>
          <w:lang w:val="en-US" w:eastAsia="zh-CN"/>
        </w:rPr>
        <w:t>发展服务中心</w:t>
      </w:r>
      <w:r>
        <w:rPr>
          <w:rFonts w:hint="eastAsia" w:ascii="仿宋_GB2312" w:eastAsia="仿宋_GB2312"/>
          <w:sz w:val="32"/>
          <w:szCs w:val="32"/>
        </w:rPr>
        <w:t>（使用）、</w:t>
      </w:r>
      <w:r>
        <w:rPr>
          <w:rFonts w:hint="eastAsia" w:ascii="仿宋_GB2312" w:eastAsia="仿宋_GB2312"/>
          <w:sz w:val="32"/>
          <w:szCs w:val="32"/>
          <w:lang w:val="en-US" w:eastAsia="zh-CN"/>
        </w:rPr>
        <w:t>新疆生产建设兵团第八师农业农村局（使用）、新疆西域绿洲种业有限公司</w:t>
      </w:r>
      <w:r>
        <w:rPr>
          <w:rFonts w:hint="eastAsia" w:ascii="仿宋_GB2312" w:eastAsia="仿宋_GB2312"/>
          <w:sz w:val="32"/>
          <w:szCs w:val="32"/>
        </w:rPr>
        <w:t>（龙头企业）等部门和单位的意见，相关领域专家对本标准部分文字、格式等略作改动，无重大意见分歧。</w:t>
      </w:r>
    </w:p>
    <w:p w14:paraId="7B1E63F5">
      <w:pPr>
        <w:ind w:firstLine="640" w:firstLineChars="200"/>
        <w:rPr>
          <w:rFonts w:hint="eastAsia" w:ascii="仿宋_GB2312" w:eastAsia="仿宋_GB2312"/>
          <w:sz w:val="32"/>
          <w:szCs w:val="32"/>
        </w:rPr>
      </w:pPr>
      <w:r>
        <w:rPr>
          <w:rFonts w:hint="eastAsia" w:ascii="黑体" w:hAnsi="黑体" w:eastAsia="黑体" w:cs="黑体"/>
          <w:b w:val="0"/>
          <w:bCs w:val="0"/>
          <w:sz w:val="32"/>
          <w:szCs w:val="32"/>
          <w:lang w:val="en-US" w:eastAsia="zh-CN"/>
        </w:rPr>
        <w:t>七</w:t>
      </w:r>
      <w:r>
        <w:rPr>
          <w:rFonts w:hint="eastAsia" w:ascii="黑体" w:hAnsi="黑体" w:eastAsia="黑体" w:cs="黑体"/>
          <w:b w:val="0"/>
          <w:bCs w:val="0"/>
          <w:sz w:val="32"/>
          <w:szCs w:val="32"/>
          <w:lang w:eastAsia="zh-CN"/>
        </w:rPr>
        <w:t>、作为推荐性或强制性标准的建议及其理由</w:t>
      </w:r>
    </w:p>
    <w:p w14:paraId="3BDA673A">
      <w:pPr>
        <w:ind w:firstLine="640" w:firstLineChars="200"/>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建议《春大豆膜下滴灌水肥一体化栽培技术(兵团范围）》作为推荐性标准发布实施。</w:t>
      </w:r>
    </w:p>
    <w:p w14:paraId="57669935">
      <w:pPr>
        <w:ind w:firstLine="640" w:firstLineChars="200"/>
        <w:rPr>
          <w:rFonts w:hint="eastAsia" w:ascii="仿宋_GB2312" w:eastAsia="仿宋_GB2312"/>
          <w:sz w:val="32"/>
          <w:szCs w:val="32"/>
        </w:rPr>
      </w:pPr>
      <w:r>
        <w:rPr>
          <w:rFonts w:hint="eastAsia" w:ascii="黑体" w:hAnsi="黑体" w:eastAsia="黑体" w:cs="黑体"/>
          <w:b w:val="0"/>
          <w:bCs w:val="0"/>
          <w:sz w:val="32"/>
          <w:szCs w:val="32"/>
          <w:lang w:val="en-US" w:eastAsia="zh-CN"/>
        </w:rPr>
        <w:t>八</w:t>
      </w:r>
      <w:r>
        <w:rPr>
          <w:rFonts w:hint="eastAsia" w:ascii="黑体" w:hAnsi="黑体" w:eastAsia="黑体" w:cs="黑体"/>
          <w:b w:val="0"/>
          <w:bCs w:val="0"/>
          <w:sz w:val="32"/>
          <w:szCs w:val="32"/>
          <w:lang w:eastAsia="zh-CN"/>
        </w:rPr>
        <w:t>、贯彻标准的措施建议</w:t>
      </w:r>
    </w:p>
    <w:p w14:paraId="6F4FD699">
      <w:pPr>
        <w:ind w:firstLine="640" w:firstLineChars="200"/>
        <w:rPr>
          <w:rFonts w:hint="eastAsia" w:ascii="仿宋_GB2312" w:eastAsia="仿宋_GB2312"/>
          <w:sz w:val="32"/>
          <w:szCs w:val="32"/>
        </w:rPr>
      </w:pPr>
      <w:r>
        <w:rPr>
          <w:rFonts w:hint="eastAsia" w:ascii="仿宋_GB2312" w:eastAsia="仿宋_GB2312"/>
          <w:sz w:val="32"/>
          <w:szCs w:val="32"/>
        </w:rPr>
        <w:t>一是充分利用广播、电视、互联网等媒体，加大宣传力度，让广大</w:t>
      </w:r>
      <w:r>
        <w:rPr>
          <w:rFonts w:hint="eastAsia" w:ascii="仿宋_GB2312" w:eastAsia="仿宋_GB2312"/>
          <w:sz w:val="32"/>
          <w:szCs w:val="32"/>
          <w:lang w:val="en-US" w:eastAsia="zh-CN"/>
        </w:rPr>
        <w:t>大豆种植户</w:t>
      </w:r>
      <w:r>
        <w:rPr>
          <w:rFonts w:hint="eastAsia" w:ascii="仿宋_GB2312" w:eastAsia="仿宋_GB2312"/>
          <w:sz w:val="32"/>
          <w:szCs w:val="32"/>
        </w:rPr>
        <w:t>了解和掌握标准内容，认识到科学</w:t>
      </w:r>
      <w:r>
        <w:rPr>
          <w:rFonts w:hint="eastAsia" w:ascii="仿宋_GB2312" w:eastAsia="仿宋_GB2312"/>
          <w:sz w:val="32"/>
          <w:szCs w:val="32"/>
          <w:lang w:val="en-US" w:eastAsia="zh-CN"/>
        </w:rPr>
        <w:t>种植</w:t>
      </w:r>
      <w:r>
        <w:rPr>
          <w:rFonts w:hint="eastAsia" w:ascii="仿宋_GB2312" w:eastAsia="仿宋_GB2312"/>
          <w:sz w:val="32"/>
          <w:szCs w:val="32"/>
        </w:rPr>
        <w:t>以及规范化操作对保证和提高</w:t>
      </w:r>
      <w:r>
        <w:rPr>
          <w:rFonts w:hint="eastAsia" w:ascii="仿宋_GB2312" w:eastAsia="仿宋_GB2312"/>
          <w:sz w:val="32"/>
          <w:szCs w:val="32"/>
          <w:lang w:val="en-US" w:eastAsia="zh-CN"/>
        </w:rPr>
        <w:t>大豆产量</w:t>
      </w:r>
      <w:r>
        <w:rPr>
          <w:rFonts w:hint="eastAsia" w:ascii="仿宋_GB2312" w:eastAsia="仿宋_GB2312"/>
          <w:sz w:val="32"/>
          <w:szCs w:val="32"/>
        </w:rPr>
        <w:t>的重要性。二是</w:t>
      </w:r>
      <w:r>
        <w:rPr>
          <w:rFonts w:hint="eastAsia" w:ascii="仿宋_GB2312" w:eastAsia="仿宋_GB2312"/>
          <w:sz w:val="32"/>
          <w:szCs w:val="32"/>
          <w:lang w:val="en-US" w:eastAsia="zh-CN"/>
        </w:rPr>
        <w:t>制作</w:t>
      </w:r>
      <w:r>
        <w:rPr>
          <w:rFonts w:hint="eastAsia" w:ascii="仿宋_GB2312" w:eastAsia="仿宋_GB2312"/>
          <w:sz w:val="32"/>
          <w:szCs w:val="32"/>
        </w:rPr>
        <w:t>《春大豆膜下滴灌水肥一体化栽培技术(兵团范围）》科普</w:t>
      </w:r>
      <w:r>
        <w:rPr>
          <w:rFonts w:hint="eastAsia" w:ascii="仿宋_GB2312" w:eastAsia="仿宋_GB2312"/>
          <w:sz w:val="32"/>
          <w:szCs w:val="32"/>
          <w:lang w:val="en-US" w:eastAsia="zh-CN"/>
        </w:rPr>
        <w:t>视频及科普图册</w:t>
      </w:r>
      <w:r>
        <w:rPr>
          <w:rFonts w:hint="eastAsia" w:ascii="仿宋_GB2312" w:eastAsia="仿宋_GB2312"/>
          <w:sz w:val="32"/>
          <w:szCs w:val="32"/>
        </w:rPr>
        <w:t>，以通俗易懂的文字、图表</w:t>
      </w:r>
      <w:r>
        <w:rPr>
          <w:rFonts w:hint="eastAsia" w:ascii="仿宋_GB2312" w:eastAsia="仿宋_GB2312"/>
          <w:sz w:val="32"/>
          <w:szCs w:val="32"/>
          <w:lang w:eastAsia="zh-CN"/>
        </w:rPr>
        <w:t>、</w:t>
      </w:r>
      <w:r>
        <w:rPr>
          <w:rFonts w:hint="eastAsia" w:ascii="仿宋_GB2312" w:eastAsia="仿宋_GB2312"/>
          <w:sz w:val="32"/>
          <w:szCs w:val="32"/>
          <w:lang w:val="en-US" w:eastAsia="zh-CN"/>
        </w:rPr>
        <w:t>视频</w:t>
      </w:r>
      <w:r>
        <w:rPr>
          <w:rFonts w:hint="eastAsia" w:ascii="仿宋_GB2312" w:eastAsia="仿宋_GB2312"/>
          <w:sz w:val="32"/>
          <w:szCs w:val="32"/>
        </w:rPr>
        <w:t>为主的表现形式,有条理、有重点的介绍标准技术内容，指导</w:t>
      </w:r>
      <w:r>
        <w:rPr>
          <w:rFonts w:hint="eastAsia" w:ascii="仿宋_GB2312" w:eastAsia="仿宋_GB2312"/>
          <w:sz w:val="32"/>
          <w:szCs w:val="32"/>
          <w:lang w:val="en-US" w:eastAsia="zh-CN"/>
        </w:rPr>
        <w:t>大豆种植户合理水肥投入、适期化控、提前病虫害防治，</w:t>
      </w:r>
      <w:r>
        <w:rPr>
          <w:rFonts w:hint="eastAsia" w:ascii="仿宋_GB2312" w:eastAsia="仿宋_GB2312"/>
          <w:sz w:val="32"/>
          <w:szCs w:val="32"/>
        </w:rPr>
        <w:t>有效提高肥料利用率，减少化肥</w:t>
      </w:r>
      <w:r>
        <w:rPr>
          <w:rFonts w:hint="eastAsia" w:ascii="仿宋_GB2312" w:eastAsia="仿宋_GB2312"/>
          <w:sz w:val="32"/>
          <w:szCs w:val="32"/>
          <w:lang w:val="en-US" w:eastAsia="zh-CN"/>
        </w:rPr>
        <w:t>农药</w:t>
      </w:r>
      <w:r>
        <w:rPr>
          <w:rFonts w:hint="eastAsia" w:ascii="仿宋_GB2312" w:eastAsia="仿宋_GB2312"/>
          <w:sz w:val="32"/>
          <w:szCs w:val="32"/>
        </w:rPr>
        <w:t>施用，提高应用技术水平。三是广泛开展技术培训，利用各地冬季农民培训会以及春季农业农村系统、推广系统组织召开的行业会议、现场观摩会等多场合宣贯标准，就标准的关键技术应用以及为什么要标准化操作进行讲解，促进思想认识和技术到位率的不断提高，扩大使用范围，使之对</w:t>
      </w:r>
      <w:r>
        <w:rPr>
          <w:rFonts w:hint="eastAsia" w:ascii="仿宋_GB2312" w:eastAsia="仿宋_GB2312"/>
          <w:sz w:val="32"/>
          <w:szCs w:val="32"/>
          <w:lang w:val="en-US" w:eastAsia="zh-CN"/>
        </w:rPr>
        <w:t>大豆</w:t>
      </w:r>
      <w:r>
        <w:rPr>
          <w:rFonts w:hint="eastAsia" w:ascii="仿宋_GB2312" w:eastAsia="仿宋_GB2312"/>
          <w:sz w:val="32"/>
          <w:szCs w:val="32"/>
        </w:rPr>
        <w:t>生产发挥较大的技术作用。</w:t>
      </w:r>
    </w:p>
    <w:p w14:paraId="4A8E7E84">
      <w:pPr>
        <w:ind w:firstLine="640" w:firstLineChars="200"/>
        <w:rPr>
          <w:rFonts w:hint="eastAsia" w:ascii="黑体" w:eastAsia="黑体"/>
          <w:sz w:val="32"/>
          <w:szCs w:val="32"/>
        </w:rPr>
      </w:pPr>
      <w:r>
        <w:rPr>
          <w:rFonts w:hint="eastAsia" w:ascii="黑体" w:hAnsi="黑体" w:eastAsia="黑体" w:cs="黑体"/>
          <w:b w:val="0"/>
          <w:bCs w:val="0"/>
          <w:sz w:val="32"/>
          <w:szCs w:val="32"/>
          <w:lang w:val="en-US" w:eastAsia="zh-CN"/>
        </w:rPr>
        <w:t>九</w:t>
      </w:r>
      <w:r>
        <w:rPr>
          <w:rFonts w:hint="eastAsia" w:ascii="黑体" w:hAnsi="黑体" w:eastAsia="黑体" w:cs="黑体"/>
          <w:b w:val="0"/>
          <w:bCs w:val="0"/>
          <w:sz w:val="32"/>
          <w:szCs w:val="32"/>
          <w:lang w:eastAsia="zh-CN"/>
        </w:rPr>
        <w:t>、其他应说明的事项</w:t>
      </w:r>
    </w:p>
    <w:p w14:paraId="0D19A7E0">
      <w:pPr>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14:paraId="511C91D9">
      <w:pPr>
        <w:ind w:firstLine="640" w:firstLineChars="200"/>
        <w:rPr>
          <w:rFonts w:hint="eastAsia" w:ascii="仿宋_GB2312" w:hAnsi="Times New Roman" w:eastAsia="仿宋_GB2312" w:cs="Times New Roman"/>
          <w:sz w:val="32"/>
          <w:szCs w:val="32"/>
          <w:lang w:val="en-US" w:eastAsia="zh-CN"/>
        </w:rPr>
      </w:pPr>
    </w:p>
    <w:p w14:paraId="01F01869">
      <w:pPr>
        <w:ind w:firstLine="1280" w:firstLineChars="4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《春大豆膜下滴灌水肥一体化栽培技术(兵团范围）》</w:t>
      </w:r>
    </w:p>
    <w:p w14:paraId="5B42A93D">
      <w:pPr>
        <w:ind w:firstLine="4800" w:firstLineChars="15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标准起草小组</w:t>
      </w:r>
    </w:p>
    <w:p w14:paraId="276380F9">
      <w:pPr>
        <w:ind w:firstLine="4480" w:firstLineChars="14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二零二四年十月</w:t>
      </w:r>
    </w:p>
    <w:p w14:paraId="49BF28A3">
      <w:pPr>
        <w:ind w:firstLine="640" w:firstLineChars="200"/>
        <w:rPr>
          <w:rFonts w:hint="eastAsia" w:ascii="仿宋_GB2312" w:hAnsi="Times New Roman" w:eastAsia="仿宋_GB2312" w:cs="Times New Roman"/>
          <w:sz w:val="32"/>
          <w:szCs w:val="32"/>
          <w:lang w:val="en-US" w:eastAsia="zh-CN"/>
        </w:rPr>
      </w:pPr>
    </w:p>
    <w:p w14:paraId="50EBFF0C">
      <w:pPr>
        <w:ind w:firstLine="640" w:firstLineChars="200"/>
        <w:rPr>
          <w:rFonts w:hint="eastAsia" w:ascii="仿宋_GB2312" w:eastAsia="仿宋_GB2312"/>
          <w:sz w:val="32"/>
          <w:szCs w:val="32"/>
        </w:rPr>
      </w:pPr>
    </w:p>
    <w:sectPr>
      <w:footerReference r:id="rId3" w:type="default"/>
      <w:footerReference r:id="rId4" w:type="even"/>
      <w:pgSz w:w="11906" w:h="16838"/>
      <w:pgMar w:top="1701" w:right="1474" w:bottom="1418" w:left="1588"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4EFEBF-E3EB-4E2B-9B9F-6EBE8D4A07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16B5570D-0E29-4E1C-B573-7ABCEA80456F}"/>
  </w:font>
  <w:font w:name="仿宋_GB2312">
    <w:altName w:val="仿宋"/>
    <w:panose1 w:val="02010609030101010101"/>
    <w:charset w:val="86"/>
    <w:family w:val="modern"/>
    <w:pitch w:val="default"/>
    <w:sig w:usb0="00000000" w:usb1="00000000" w:usb2="00000000" w:usb3="00000000" w:csb0="00040000" w:csb1="00000000"/>
    <w:embedRegular r:id="rId3" w:fontKey="{EFF8883E-F48E-45F6-ADF4-147449B3A2D3}"/>
  </w:font>
  <w:font w:name="楷体_GB2312">
    <w:altName w:val="楷体"/>
    <w:panose1 w:val="02010609030101010101"/>
    <w:charset w:val="86"/>
    <w:family w:val="modern"/>
    <w:pitch w:val="default"/>
    <w:sig w:usb0="00000000" w:usb1="00000000" w:usb2="00000000" w:usb3="00000000" w:csb0="00040000" w:csb1="00000000"/>
    <w:embedRegular r:id="rId4" w:fontKey="{8D0A4DF5-2B3A-4EF0-83DA-633BBE1B65B3}"/>
  </w:font>
  <w:font w:name="仿宋">
    <w:panose1 w:val="02010609060101010101"/>
    <w:charset w:val="86"/>
    <w:family w:val="modern"/>
    <w:pitch w:val="default"/>
    <w:sig w:usb0="800002BF" w:usb1="38CF7CFA" w:usb2="00000016" w:usb3="00000000" w:csb0="00040001" w:csb1="00000000"/>
    <w:embedRegular r:id="rId5" w:fontKey="{2999E85D-7CE6-4279-9542-53A08B2E5083}"/>
  </w:font>
  <w:font w:name="方正仿宋_GB2312">
    <w:panose1 w:val="02000000000000000000"/>
    <w:charset w:val="86"/>
    <w:family w:val="auto"/>
    <w:pitch w:val="default"/>
    <w:sig w:usb0="A00002BF" w:usb1="184F6CFA" w:usb2="00000012" w:usb3="00000000" w:csb0="00040001" w:csb1="00000000"/>
    <w:embedRegular r:id="rId6" w:fontKey="{72D1215E-7E99-4EEF-9B62-A1EA756BDAEE}"/>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ED1B9">
    <w:pPr>
      <w:pStyle w:val="3"/>
      <w:framePr w:wrap="around" w:vAnchor="text" w:hAnchor="margin" w:xAlign="right" w:y="1"/>
      <w:rPr>
        <w:rStyle w:val="8"/>
      </w:rPr>
    </w:pPr>
    <w:r>
      <w:fldChar w:fldCharType="begin"/>
    </w:r>
    <w:r>
      <w:rPr>
        <w:rStyle w:val="8"/>
      </w:rPr>
      <w:instrText xml:space="preserve">PAGE  </w:instrText>
    </w:r>
    <w:r>
      <w:fldChar w:fldCharType="separate"/>
    </w:r>
    <w:r>
      <w:rPr>
        <w:rStyle w:val="8"/>
      </w:rPr>
      <w:t>3</w:t>
    </w:r>
    <w:r>
      <w:fldChar w:fldCharType="end"/>
    </w:r>
  </w:p>
  <w:p w14:paraId="2C427F78">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F5F3E">
    <w:pPr>
      <w:pStyle w:val="3"/>
      <w:framePr w:wrap="around" w:vAnchor="text" w:hAnchor="margin" w:xAlign="right" w:y="1"/>
      <w:rPr>
        <w:rStyle w:val="8"/>
      </w:rPr>
    </w:pPr>
    <w:r>
      <w:fldChar w:fldCharType="begin"/>
    </w:r>
    <w:r>
      <w:rPr>
        <w:rStyle w:val="8"/>
      </w:rPr>
      <w:instrText xml:space="preserve">PAGE  </w:instrText>
    </w:r>
    <w:r>
      <w:fldChar w:fldCharType="end"/>
    </w:r>
  </w:p>
  <w:p w14:paraId="2EF82E1C">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yMWI1N2U4MTJlZjU3ZThjNzZkMTAwNjBmZWQ4YzQifQ=="/>
  </w:docVars>
  <w:rsids>
    <w:rsidRoot w:val="00BB0057"/>
    <w:rsid w:val="00016198"/>
    <w:rsid w:val="000C5EF4"/>
    <w:rsid w:val="0016113B"/>
    <w:rsid w:val="00291E5F"/>
    <w:rsid w:val="003559CD"/>
    <w:rsid w:val="003F4E68"/>
    <w:rsid w:val="00415036"/>
    <w:rsid w:val="004C5E1E"/>
    <w:rsid w:val="005449B3"/>
    <w:rsid w:val="005546B2"/>
    <w:rsid w:val="0058110B"/>
    <w:rsid w:val="006319F7"/>
    <w:rsid w:val="00686E07"/>
    <w:rsid w:val="00695C7A"/>
    <w:rsid w:val="006B34C7"/>
    <w:rsid w:val="00766DDB"/>
    <w:rsid w:val="007C79BF"/>
    <w:rsid w:val="00827ACB"/>
    <w:rsid w:val="008455CD"/>
    <w:rsid w:val="00866C73"/>
    <w:rsid w:val="008836BE"/>
    <w:rsid w:val="00951154"/>
    <w:rsid w:val="00982EA2"/>
    <w:rsid w:val="00996E5F"/>
    <w:rsid w:val="009A7D42"/>
    <w:rsid w:val="009E4AD1"/>
    <w:rsid w:val="00A5419B"/>
    <w:rsid w:val="00A94B04"/>
    <w:rsid w:val="00AB6E88"/>
    <w:rsid w:val="00BB0057"/>
    <w:rsid w:val="00C12800"/>
    <w:rsid w:val="00C84647"/>
    <w:rsid w:val="00D140D0"/>
    <w:rsid w:val="00D265DA"/>
    <w:rsid w:val="00D52080"/>
    <w:rsid w:val="00DE0E86"/>
    <w:rsid w:val="00E2567D"/>
    <w:rsid w:val="00EB5478"/>
    <w:rsid w:val="00F1255F"/>
    <w:rsid w:val="00F25E4D"/>
    <w:rsid w:val="00F31552"/>
    <w:rsid w:val="00F523BD"/>
    <w:rsid w:val="00F537E1"/>
    <w:rsid w:val="00F734F5"/>
    <w:rsid w:val="00FD1374"/>
    <w:rsid w:val="120E5512"/>
    <w:rsid w:val="18B0731D"/>
    <w:rsid w:val="19225EDB"/>
    <w:rsid w:val="1D4875E2"/>
    <w:rsid w:val="1ECE6B72"/>
    <w:rsid w:val="216212B0"/>
    <w:rsid w:val="21906F65"/>
    <w:rsid w:val="2255660A"/>
    <w:rsid w:val="277A743E"/>
    <w:rsid w:val="2781039A"/>
    <w:rsid w:val="29B63EC4"/>
    <w:rsid w:val="32F41CE3"/>
    <w:rsid w:val="34E4779A"/>
    <w:rsid w:val="3CD96807"/>
    <w:rsid w:val="3E38346F"/>
    <w:rsid w:val="3EB51ABE"/>
    <w:rsid w:val="3FB475CF"/>
    <w:rsid w:val="44932009"/>
    <w:rsid w:val="4D2775DF"/>
    <w:rsid w:val="51754D89"/>
    <w:rsid w:val="51A05046"/>
    <w:rsid w:val="525C72AA"/>
    <w:rsid w:val="5BE9388B"/>
    <w:rsid w:val="5E7D7239"/>
    <w:rsid w:val="604B613A"/>
    <w:rsid w:val="66494224"/>
    <w:rsid w:val="69FA42C6"/>
    <w:rsid w:val="70C04B9D"/>
    <w:rsid w:val="7A2121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Body Text First Indent"/>
    <w:basedOn w:val="2"/>
    <w:unhideWhenUsed/>
    <w:qFormat/>
    <w:uiPriority w:val="99"/>
    <w:pPr>
      <w:ind w:firstLine="420" w:firstLineChars="100"/>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_Style 1"/>
    <w:basedOn w:val="1"/>
    <w:qFormat/>
    <w:uiPriority w:val="0"/>
    <w:pPr>
      <w:ind w:firstLine="420" w:firstLineChars="200"/>
    </w:pPr>
  </w:style>
  <w:style w:type="paragraph" w:customStyle="1" w:styleId="10">
    <w:name w:val="默认段落字体 Para Char Char Char Char Char Char Char"/>
    <w:basedOn w:val="1"/>
    <w:semiHidden/>
    <w:qFormat/>
    <w:uiPriority w:val="0"/>
    <w:rPr>
      <w:szCs w:val="3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微软中国</Company>
  <Pages>11</Pages>
  <Words>5273</Words>
  <Characters>5742</Characters>
  <Lines>7</Lines>
  <Paragraphs>2</Paragraphs>
  <TotalTime>0</TotalTime>
  <ScaleCrop>false</ScaleCrop>
  <LinksUpToDate>false</LinksUpToDate>
  <CharactersWithSpaces>5767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2011-10-31T01:34:00Z</dcterms:created>
  <dc:creator>微软用户</dc:creator>
  <cp:lastModifiedBy>晴空漫步</cp:lastModifiedBy>
  <dcterms:modified xsi:type="dcterms:W3CDTF">2024-10-23T03:46:50Z</dcterms:modified>
  <dc:title>《地方标准编制说明》格式规范</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82D0B26628E048AF98979113D7A51342_13</vt:lpwstr>
  </property>
</Properties>
</file>