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1EA652">
      <w:pPr>
        <w:spacing w:line="440" w:lineRule="exact"/>
        <w:jc w:val="center"/>
        <w:rPr>
          <w:rFonts w:hint="eastAsia" w:ascii="方正小标宋简体" w:eastAsia="方正小标宋简体"/>
          <w:sz w:val="36"/>
          <w:szCs w:val="36"/>
        </w:rPr>
      </w:pPr>
      <w:r>
        <w:rPr>
          <w:rFonts w:hint="eastAsia" w:ascii="方正小标宋简体" w:eastAsia="方正小标宋简体"/>
          <w:sz w:val="36"/>
          <w:szCs w:val="36"/>
        </w:rPr>
        <w:t>《机采棉等行距密植优质种植技术规程》</w:t>
      </w:r>
    </w:p>
    <w:p w14:paraId="678DFC9D">
      <w:pPr>
        <w:spacing w:line="440" w:lineRule="exact"/>
        <w:jc w:val="center"/>
        <w:rPr>
          <w:rFonts w:hint="eastAsia" w:ascii="仿宋_GB2312" w:eastAsia="仿宋_GB2312"/>
          <w:sz w:val="32"/>
          <w:szCs w:val="32"/>
        </w:rPr>
      </w:pPr>
      <w:r>
        <w:rPr>
          <w:rFonts w:hint="eastAsia" w:ascii="方正小标宋简体" w:eastAsia="方正小标宋简体"/>
          <w:sz w:val="36"/>
          <w:szCs w:val="36"/>
        </w:rPr>
        <w:t>地方标准编制说明</w:t>
      </w:r>
    </w:p>
    <w:p w14:paraId="412C7BE6">
      <w:pPr>
        <w:ind w:firstLine="640" w:firstLineChars="200"/>
        <w:rPr>
          <w:rFonts w:hint="eastAsia" w:ascii="黑体" w:hAnsi="黑体" w:eastAsia="黑体" w:cs="黑体"/>
          <w:b/>
          <w:bCs/>
          <w:sz w:val="32"/>
          <w:szCs w:val="32"/>
        </w:rPr>
      </w:pPr>
      <w:r>
        <w:rPr>
          <w:rFonts w:hint="eastAsia" w:ascii="黑体" w:hAnsi="黑体" w:eastAsia="黑体" w:cs="黑体"/>
          <w:sz w:val="32"/>
          <w:szCs w:val="32"/>
        </w:rPr>
        <w:t>一、工作简况</w:t>
      </w:r>
    </w:p>
    <w:p w14:paraId="073894FC">
      <w:pPr>
        <w:ind w:firstLine="640" w:firstLineChars="200"/>
        <w:rPr>
          <w:rFonts w:hint="eastAsia" w:ascii="仿宋_GB2312" w:eastAsia="仿宋_GB2312"/>
          <w:sz w:val="32"/>
          <w:szCs w:val="32"/>
        </w:rPr>
      </w:pPr>
      <w:r>
        <w:rPr>
          <w:rFonts w:hint="eastAsia" w:ascii="仿宋_GB2312" w:eastAsia="仿宋_GB2312"/>
          <w:sz w:val="32"/>
          <w:szCs w:val="32"/>
        </w:rPr>
        <w:t>1.任务来源</w:t>
      </w:r>
    </w:p>
    <w:p w14:paraId="13363558">
      <w:pPr>
        <w:ind w:firstLine="640" w:firstLineChars="200"/>
        <w:rPr>
          <w:rFonts w:hint="eastAsia" w:ascii="仿宋_GB2312" w:eastAsia="仿宋_GB2312"/>
          <w:bCs/>
          <w:sz w:val="32"/>
          <w:szCs w:val="32"/>
        </w:rPr>
      </w:pPr>
      <w:r>
        <w:rPr>
          <w:rFonts w:hint="eastAsia" w:ascii="仿宋_GB2312" w:eastAsia="仿宋_GB2312"/>
          <w:bCs/>
          <w:sz w:val="32"/>
          <w:szCs w:val="32"/>
        </w:rPr>
        <w:t>2023年3月27日，由新疆农垦科学院申请地方标准的立项，根据新疆维吾尔自治区市场监督管理局下达的2023年度新疆维吾尔自治区地方标准制修订项目计划，批准《</w:t>
      </w:r>
      <w:r>
        <w:rPr>
          <w:rFonts w:hint="eastAsia" w:eastAsia="仿宋_GB2312"/>
          <w:sz w:val="32"/>
          <w:szCs w:val="32"/>
        </w:rPr>
        <w:t>机采棉等行距密植优质种植技术规程</w:t>
      </w:r>
      <w:r>
        <w:rPr>
          <w:rFonts w:hint="eastAsia" w:ascii="仿宋_GB2312" w:eastAsia="仿宋_GB2312"/>
          <w:bCs/>
          <w:sz w:val="32"/>
          <w:szCs w:val="32"/>
        </w:rPr>
        <w:t>》地方标准的</w:t>
      </w:r>
      <w:r>
        <w:rPr>
          <w:rFonts w:hint="eastAsia" w:ascii="仿宋_GB2312" w:hAnsi="仿宋_GB2312" w:eastAsia="仿宋_GB2312" w:cs="仿宋_GB2312"/>
          <w:bCs/>
          <w:sz w:val="32"/>
          <w:szCs w:val="32"/>
        </w:rPr>
        <w:t>制定（修订），计划号为XJ</w:t>
      </w:r>
      <w:r>
        <w:rPr>
          <w:rFonts w:eastAsia="仿宋_GB2312"/>
          <w:sz w:val="32"/>
          <w:szCs w:val="32"/>
        </w:rPr>
        <w:t xml:space="preserve"> </w:t>
      </w:r>
      <w:r>
        <w:rPr>
          <w:rFonts w:ascii="仿宋_GB2312" w:hAnsi="仿宋_GB2312" w:eastAsia="仿宋_GB2312" w:cs="仿宋_GB2312"/>
          <w:bCs/>
          <w:sz w:val="32"/>
          <w:szCs w:val="32"/>
        </w:rPr>
        <w:t>23-152</w:t>
      </w:r>
      <w:r>
        <w:rPr>
          <w:rFonts w:hint="eastAsia" w:ascii="仿宋_GB2312" w:eastAsia="仿宋_GB2312"/>
          <w:bCs/>
          <w:sz w:val="32"/>
          <w:szCs w:val="32"/>
        </w:rPr>
        <w:t>。</w:t>
      </w:r>
    </w:p>
    <w:p w14:paraId="30201A81">
      <w:pPr>
        <w:ind w:firstLine="640" w:firstLineChars="200"/>
        <w:rPr>
          <w:rFonts w:hint="eastAsia" w:ascii="仿宋_GB2312" w:eastAsia="仿宋_GB2312"/>
          <w:sz w:val="32"/>
          <w:szCs w:val="32"/>
        </w:rPr>
      </w:pPr>
      <w:r>
        <w:rPr>
          <w:rFonts w:hint="eastAsia" w:ascii="仿宋_GB2312" w:eastAsia="仿宋_GB2312"/>
          <w:sz w:val="32"/>
          <w:szCs w:val="32"/>
        </w:rPr>
        <w:t>2.起草单位</w:t>
      </w:r>
    </w:p>
    <w:p w14:paraId="4C9AA804">
      <w:pPr>
        <w:ind w:firstLine="640" w:firstLineChars="200"/>
        <w:rPr>
          <w:rFonts w:hint="eastAsia" w:ascii="仿宋_GB2312" w:eastAsia="仿宋_GB2312"/>
          <w:sz w:val="32"/>
          <w:szCs w:val="32"/>
        </w:rPr>
      </w:pPr>
      <w:r>
        <w:rPr>
          <w:rFonts w:hint="eastAsia" w:ascii="仿宋_GB2312" w:eastAsia="仿宋_GB2312"/>
          <w:sz w:val="32"/>
          <w:szCs w:val="32"/>
        </w:rPr>
        <w:t>起草单位：新疆农垦科学院</w:t>
      </w:r>
    </w:p>
    <w:p w14:paraId="35084BB8">
      <w:pPr>
        <w:ind w:firstLine="640" w:firstLineChars="200"/>
        <w:rPr>
          <w:rFonts w:hint="eastAsia" w:ascii="仿宋_GB2312" w:eastAsia="仿宋_GB2312"/>
          <w:sz w:val="32"/>
          <w:szCs w:val="32"/>
        </w:rPr>
      </w:pPr>
      <w:r>
        <w:rPr>
          <w:rFonts w:hint="eastAsia" w:ascii="仿宋_GB2312" w:eastAsia="仿宋_GB2312"/>
          <w:sz w:val="32"/>
          <w:szCs w:val="32"/>
        </w:rPr>
        <w:t>3.主要起草人</w:t>
      </w:r>
    </w:p>
    <w:tbl>
      <w:tblPr>
        <w:tblStyle w:val="8"/>
        <w:tblW w:w="8643"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9"/>
        <w:gridCol w:w="1026"/>
        <w:gridCol w:w="1996"/>
        <w:gridCol w:w="2636"/>
        <w:gridCol w:w="1596"/>
      </w:tblGrid>
      <w:tr w14:paraId="3CFCD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9" w:type="dxa"/>
            <w:noWrap w:val="0"/>
            <w:vAlign w:val="center"/>
          </w:tcPr>
          <w:p w14:paraId="292AA6A1">
            <w:pPr>
              <w:jc w:val="center"/>
              <w:rPr>
                <w:rFonts w:hint="eastAsia" w:ascii="仿宋_GB2312" w:eastAsia="仿宋_GB2312"/>
                <w:sz w:val="30"/>
                <w:szCs w:val="30"/>
              </w:rPr>
            </w:pPr>
            <w:r>
              <w:rPr>
                <w:rFonts w:hint="eastAsia" w:ascii="仿宋_GB2312" w:eastAsia="仿宋_GB2312"/>
                <w:sz w:val="30"/>
                <w:szCs w:val="30"/>
              </w:rPr>
              <w:t>姓 名</w:t>
            </w:r>
          </w:p>
        </w:tc>
        <w:tc>
          <w:tcPr>
            <w:tcW w:w="1026" w:type="dxa"/>
            <w:noWrap w:val="0"/>
            <w:vAlign w:val="center"/>
          </w:tcPr>
          <w:p w14:paraId="46A27AE5">
            <w:pPr>
              <w:jc w:val="center"/>
              <w:rPr>
                <w:rFonts w:hint="eastAsia" w:ascii="仿宋_GB2312" w:eastAsia="仿宋_GB2312"/>
                <w:sz w:val="30"/>
                <w:szCs w:val="30"/>
              </w:rPr>
            </w:pPr>
            <w:r>
              <w:rPr>
                <w:rFonts w:hint="eastAsia" w:ascii="仿宋_GB2312" w:eastAsia="仿宋_GB2312"/>
                <w:sz w:val="30"/>
                <w:szCs w:val="30"/>
              </w:rPr>
              <w:t>性别</w:t>
            </w:r>
          </w:p>
        </w:tc>
        <w:tc>
          <w:tcPr>
            <w:tcW w:w="1996" w:type="dxa"/>
            <w:noWrap w:val="0"/>
            <w:vAlign w:val="center"/>
          </w:tcPr>
          <w:p w14:paraId="26629E53">
            <w:pPr>
              <w:jc w:val="center"/>
              <w:rPr>
                <w:rFonts w:hint="eastAsia" w:ascii="仿宋_GB2312" w:eastAsia="仿宋_GB2312"/>
                <w:sz w:val="30"/>
                <w:szCs w:val="30"/>
              </w:rPr>
            </w:pPr>
            <w:r>
              <w:rPr>
                <w:rFonts w:hint="eastAsia" w:ascii="仿宋_GB2312" w:eastAsia="仿宋_GB2312"/>
                <w:sz w:val="30"/>
                <w:szCs w:val="30"/>
              </w:rPr>
              <w:t>职务/职称</w:t>
            </w:r>
          </w:p>
        </w:tc>
        <w:tc>
          <w:tcPr>
            <w:tcW w:w="2636" w:type="dxa"/>
            <w:noWrap w:val="0"/>
            <w:vAlign w:val="center"/>
          </w:tcPr>
          <w:p w14:paraId="2AD0FE21">
            <w:pPr>
              <w:jc w:val="center"/>
              <w:rPr>
                <w:rFonts w:hint="eastAsia" w:ascii="仿宋_GB2312" w:eastAsia="仿宋_GB2312"/>
                <w:sz w:val="30"/>
                <w:szCs w:val="30"/>
              </w:rPr>
            </w:pPr>
            <w:r>
              <w:rPr>
                <w:rFonts w:hint="eastAsia" w:ascii="仿宋_GB2312" w:eastAsia="仿宋_GB2312"/>
                <w:sz w:val="30"/>
                <w:szCs w:val="30"/>
              </w:rPr>
              <w:t>工作单位</w:t>
            </w:r>
          </w:p>
        </w:tc>
        <w:tc>
          <w:tcPr>
            <w:tcW w:w="1596" w:type="dxa"/>
            <w:noWrap w:val="0"/>
            <w:vAlign w:val="center"/>
          </w:tcPr>
          <w:p w14:paraId="056FCFB1">
            <w:pPr>
              <w:jc w:val="center"/>
              <w:rPr>
                <w:rFonts w:hint="eastAsia" w:ascii="仿宋_GB2312" w:eastAsia="仿宋_GB2312"/>
                <w:sz w:val="30"/>
                <w:szCs w:val="30"/>
              </w:rPr>
            </w:pPr>
            <w:r>
              <w:rPr>
                <w:rFonts w:hint="eastAsia" w:ascii="仿宋_GB2312" w:eastAsia="仿宋_GB2312"/>
                <w:sz w:val="30"/>
                <w:szCs w:val="30"/>
              </w:rPr>
              <w:t>任务分工</w:t>
            </w:r>
          </w:p>
        </w:tc>
      </w:tr>
      <w:tr w14:paraId="045E1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noWrap w:val="0"/>
            <w:vAlign w:val="center"/>
          </w:tcPr>
          <w:p w14:paraId="2281CCD4">
            <w:pPr>
              <w:spacing w:line="360" w:lineRule="exact"/>
              <w:jc w:val="center"/>
              <w:rPr>
                <w:rFonts w:hint="eastAsia" w:ascii="仿宋_GB2312" w:eastAsia="仿宋_GB2312"/>
                <w:sz w:val="28"/>
                <w:szCs w:val="28"/>
              </w:rPr>
            </w:pPr>
            <w:r>
              <w:rPr>
                <w:rFonts w:hint="eastAsia" w:ascii="仿宋_GB2312" w:eastAsia="仿宋_GB2312"/>
                <w:sz w:val="28"/>
                <w:szCs w:val="28"/>
              </w:rPr>
              <w:t>王方永</w:t>
            </w:r>
          </w:p>
        </w:tc>
        <w:tc>
          <w:tcPr>
            <w:tcW w:w="1026" w:type="dxa"/>
            <w:noWrap w:val="0"/>
            <w:vAlign w:val="center"/>
          </w:tcPr>
          <w:p w14:paraId="5A5416DE">
            <w:pPr>
              <w:spacing w:line="360" w:lineRule="exact"/>
              <w:jc w:val="center"/>
              <w:rPr>
                <w:rFonts w:hint="eastAsia" w:ascii="仿宋_GB2312" w:eastAsia="仿宋_GB2312"/>
                <w:sz w:val="28"/>
                <w:szCs w:val="28"/>
              </w:rPr>
            </w:pPr>
            <w:r>
              <w:rPr>
                <w:rFonts w:hint="eastAsia" w:ascii="仿宋_GB2312" w:eastAsia="仿宋_GB2312"/>
                <w:sz w:val="28"/>
                <w:szCs w:val="28"/>
              </w:rPr>
              <w:t>男</w:t>
            </w:r>
          </w:p>
        </w:tc>
        <w:tc>
          <w:tcPr>
            <w:tcW w:w="1996" w:type="dxa"/>
            <w:noWrap w:val="0"/>
            <w:vAlign w:val="center"/>
          </w:tcPr>
          <w:p w14:paraId="7FB383E7">
            <w:pPr>
              <w:spacing w:line="360" w:lineRule="exact"/>
              <w:jc w:val="center"/>
              <w:rPr>
                <w:rFonts w:hint="eastAsia" w:ascii="仿宋_GB2312" w:eastAsia="仿宋_GB2312"/>
                <w:sz w:val="28"/>
                <w:szCs w:val="28"/>
              </w:rPr>
            </w:pPr>
            <w:r>
              <w:rPr>
                <w:rFonts w:hint="eastAsia" w:ascii="仿宋_GB2312" w:eastAsia="仿宋_GB2312"/>
                <w:sz w:val="28"/>
                <w:szCs w:val="28"/>
              </w:rPr>
              <w:t>研究员</w:t>
            </w:r>
          </w:p>
        </w:tc>
        <w:tc>
          <w:tcPr>
            <w:tcW w:w="2636" w:type="dxa"/>
            <w:noWrap w:val="0"/>
            <w:vAlign w:val="center"/>
          </w:tcPr>
          <w:p w14:paraId="14D0299C">
            <w:pPr>
              <w:spacing w:line="360" w:lineRule="exact"/>
              <w:jc w:val="center"/>
              <w:rPr>
                <w:rFonts w:hint="eastAsia" w:ascii="仿宋_GB2312" w:eastAsia="仿宋_GB2312"/>
                <w:sz w:val="28"/>
                <w:szCs w:val="28"/>
              </w:rPr>
            </w:pPr>
            <w:r>
              <w:rPr>
                <w:rFonts w:hint="eastAsia" w:ascii="仿宋_GB2312" w:eastAsia="仿宋_GB2312"/>
                <w:sz w:val="28"/>
                <w:szCs w:val="28"/>
              </w:rPr>
              <w:t>新疆农垦科学院</w:t>
            </w:r>
          </w:p>
        </w:tc>
        <w:tc>
          <w:tcPr>
            <w:tcW w:w="1596" w:type="dxa"/>
            <w:noWrap w:val="0"/>
            <w:vAlign w:val="center"/>
          </w:tcPr>
          <w:p w14:paraId="0F855E80">
            <w:pPr>
              <w:spacing w:line="360" w:lineRule="exact"/>
              <w:jc w:val="center"/>
              <w:rPr>
                <w:rFonts w:hint="eastAsia" w:ascii="仿宋_GB2312" w:eastAsia="仿宋_GB2312"/>
                <w:sz w:val="28"/>
                <w:szCs w:val="28"/>
              </w:rPr>
            </w:pPr>
            <w:r>
              <w:rPr>
                <w:rFonts w:hint="eastAsia" w:ascii="仿宋_GB2312" w:eastAsia="仿宋_GB2312"/>
                <w:sz w:val="28"/>
                <w:szCs w:val="28"/>
              </w:rPr>
              <w:t>标准文本编写</w:t>
            </w:r>
          </w:p>
        </w:tc>
      </w:tr>
      <w:tr w14:paraId="38E57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noWrap w:val="0"/>
            <w:vAlign w:val="center"/>
          </w:tcPr>
          <w:p w14:paraId="53C629F2">
            <w:pPr>
              <w:spacing w:line="360" w:lineRule="exact"/>
              <w:jc w:val="center"/>
              <w:rPr>
                <w:rFonts w:hint="eastAsia" w:ascii="仿宋_GB2312" w:eastAsia="仿宋_GB2312"/>
                <w:sz w:val="28"/>
                <w:szCs w:val="28"/>
              </w:rPr>
            </w:pPr>
            <w:r>
              <w:rPr>
                <w:rFonts w:hint="eastAsia" w:ascii="仿宋_GB2312" w:eastAsia="仿宋_GB2312"/>
                <w:sz w:val="28"/>
                <w:szCs w:val="28"/>
              </w:rPr>
              <w:t>韩焕勇</w:t>
            </w:r>
          </w:p>
        </w:tc>
        <w:tc>
          <w:tcPr>
            <w:tcW w:w="1026" w:type="dxa"/>
            <w:noWrap w:val="0"/>
            <w:vAlign w:val="center"/>
          </w:tcPr>
          <w:p w14:paraId="5014231B">
            <w:pPr>
              <w:spacing w:line="360" w:lineRule="exact"/>
              <w:jc w:val="center"/>
              <w:rPr>
                <w:rFonts w:hint="eastAsia" w:ascii="仿宋_GB2312" w:eastAsia="仿宋_GB2312"/>
                <w:sz w:val="28"/>
                <w:szCs w:val="28"/>
              </w:rPr>
            </w:pPr>
            <w:r>
              <w:rPr>
                <w:rFonts w:hint="eastAsia" w:ascii="仿宋_GB2312" w:eastAsia="仿宋_GB2312"/>
                <w:sz w:val="28"/>
                <w:szCs w:val="28"/>
              </w:rPr>
              <w:t>男</w:t>
            </w:r>
          </w:p>
        </w:tc>
        <w:tc>
          <w:tcPr>
            <w:tcW w:w="1996" w:type="dxa"/>
            <w:noWrap w:val="0"/>
            <w:vAlign w:val="center"/>
          </w:tcPr>
          <w:p w14:paraId="58C87881">
            <w:pPr>
              <w:spacing w:line="360" w:lineRule="exact"/>
              <w:jc w:val="center"/>
              <w:rPr>
                <w:rFonts w:hint="eastAsia" w:ascii="仿宋_GB2312" w:eastAsia="仿宋_GB2312"/>
                <w:sz w:val="28"/>
                <w:szCs w:val="28"/>
              </w:rPr>
            </w:pPr>
            <w:r>
              <w:rPr>
                <w:rFonts w:hint="eastAsia" w:ascii="仿宋_GB2312" w:eastAsia="仿宋_GB2312"/>
                <w:sz w:val="28"/>
                <w:szCs w:val="28"/>
              </w:rPr>
              <w:t>研究员</w:t>
            </w:r>
          </w:p>
        </w:tc>
        <w:tc>
          <w:tcPr>
            <w:tcW w:w="2636" w:type="dxa"/>
            <w:noWrap w:val="0"/>
            <w:vAlign w:val="center"/>
          </w:tcPr>
          <w:p w14:paraId="0EBC35D3">
            <w:pPr>
              <w:spacing w:line="360" w:lineRule="exact"/>
              <w:jc w:val="center"/>
              <w:rPr>
                <w:rFonts w:hint="eastAsia" w:ascii="仿宋_GB2312" w:eastAsia="仿宋_GB2312"/>
                <w:sz w:val="28"/>
                <w:szCs w:val="28"/>
              </w:rPr>
            </w:pPr>
            <w:r>
              <w:rPr>
                <w:rFonts w:hint="eastAsia" w:ascii="仿宋_GB2312" w:eastAsia="仿宋_GB2312"/>
                <w:sz w:val="28"/>
                <w:szCs w:val="28"/>
              </w:rPr>
              <w:t>新疆农垦科学院</w:t>
            </w:r>
          </w:p>
        </w:tc>
        <w:tc>
          <w:tcPr>
            <w:tcW w:w="1596" w:type="dxa"/>
            <w:noWrap w:val="0"/>
            <w:vAlign w:val="center"/>
          </w:tcPr>
          <w:p w14:paraId="200DC11C">
            <w:pPr>
              <w:spacing w:line="360" w:lineRule="exact"/>
              <w:jc w:val="center"/>
              <w:rPr>
                <w:rFonts w:hint="eastAsia" w:ascii="仿宋_GB2312" w:eastAsia="仿宋_GB2312"/>
                <w:sz w:val="28"/>
                <w:szCs w:val="28"/>
              </w:rPr>
            </w:pPr>
            <w:r>
              <w:rPr>
                <w:rFonts w:hint="eastAsia" w:ascii="仿宋_GB2312" w:eastAsia="仿宋_GB2312"/>
                <w:sz w:val="28"/>
                <w:szCs w:val="28"/>
              </w:rPr>
              <w:t>调研及标准起草</w:t>
            </w:r>
          </w:p>
        </w:tc>
      </w:tr>
      <w:tr w14:paraId="09611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noWrap w:val="0"/>
            <w:vAlign w:val="center"/>
          </w:tcPr>
          <w:p w14:paraId="090F9FF8">
            <w:pPr>
              <w:spacing w:line="360" w:lineRule="exact"/>
              <w:jc w:val="center"/>
              <w:rPr>
                <w:rFonts w:hint="eastAsia" w:ascii="仿宋_GB2312" w:eastAsia="仿宋_GB2312"/>
                <w:sz w:val="28"/>
                <w:szCs w:val="28"/>
              </w:rPr>
            </w:pPr>
            <w:r>
              <w:rPr>
                <w:rFonts w:hint="eastAsia" w:ascii="仿宋_GB2312" w:eastAsia="仿宋_GB2312"/>
                <w:sz w:val="28"/>
                <w:szCs w:val="28"/>
              </w:rPr>
              <w:t>余渝</w:t>
            </w:r>
          </w:p>
        </w:tc>
        <w:tc>
          <w:tcPr>
            <w:tcW w:w="1026" w:type="dxa"/>
            <w:noWrap w:val="0"/>
            <w:vAlign w:val="center"/>
          </w:tcPr>
          <w:p w14:paraId="6B9BA023">
            <w:pPr>
              <w:spacing w:line="360" w:lineRule="exact"/>
              <w:jc w:val="center"/>
              <w:rPr>
                <w:rFonts w:hint="eastAsia" w:ascii="仿宋_GB2312" w:eastAsia="仿宋_GB2312"/>
                <w:sz w:val="28"/>
                <w:szCs w:val="28"/>
              </w:rPr>
            </w:pPr>
            <w:r>
              <w:rPr>
                <w:rFonts w:hint="eastAsia" w:ascii="仿宋_GB2312" w:eastAsia="仿宋_GB2312"/>
                <w:sz w:val="28"/>
                <w:szCs w:val="28"/>
              </w:rPr>
              <w:t>男</w:t>
            </w:r>
          </w:p>
        </w:tc>
        <w:tc>
          <w:tcPr>
            <w:tcW w:w="1996" w:type="dxa"/>
            <w:noWrap w:val="0"/>
            <w:vAlign w:val="center"/>
          </w:tcPr>
          <w:p w14:paraId="4B288E12">
            <w:pPr>
              <w:spacing w:line="360" w:lineRule="exact"/>
              <w:jc w:val="center"/>
              <w:rPr>
                <w:rFonts w:hint="eastAsia" w:ascii="仿宋_GB2312" w:eastAsia="仿宋_GB2312"/>
                <w:sz w:val="28"/>
                <w:szCs w:val="28"/>
              </w:rPr>
            </w:pPr>
            <w:r>
              <w:rPr>
                <w:rFonts w:hint="eastAsia" w:ascii="仿宋_GB2312" w:eastAsia="仿宋_GB2312"/>
                <w:sz w:val="28"/>
                <w:szCs w:val="28"/>
              </w:rPr>
              <w:t>研究员</w:t>
            </w:r>
          </w:p>
        </w:tc>
        <w:tc>
          <w:tcPr>
            <w:tcW w:w="2636" w:type="dxa"/>
            <w:noWrap w:val="0"/>
            <w:vAlign w:val="center"/>
          </w:tcPr>
          <w:p w14:paraId="65D3AF12">
            <w:pPr>
              <w:spacing w:line="360" w:lineRule="exact"/>
              <w:jc w:val="center"/>
              <w:rPr>
                <w:rFonts w:hint="eastAsia" w:ascii="仿宋_GB2312" w:eastAsia="仿宋_GB2312"/>
                <w:sz w:val="28"/>
                <w:szCs w:val="28"/>
              </w:rPr>
            </w:pPr>
            <w:r>
              <w:rPr>
                <w:rFonts w:hint="eastAsia" w:ascii="仿宋_GB2312" w:eastAsia="仿宋_GB2312"/>
                <w:sz w:val="28"/>
                <w:szCs w:val="28"/>
              </w:rPr>
              <w:t>新疆农垦科学院</w:t>
            </w:r>
          </w:p>
        </w:tc>
        <w:tc>
          <w:tcPr>
            <w:tcW w:w="1596" w:type="dxa"/>
            <w:noWrap w:val="0"/>
            <w:vAlign w:val="center"/>
          </w:tcPr>
          <w:p w14:paraId="1398A077">
            <w:pPr>
              <w:spacing w:line="360" w:lineRule="exact"/>
              <w:jc w:val="center"/>
              <w:rPr>
                <w:rFonts w:hint="eastAsia" w:ascii="仿宋_GB2312" w:eastAsia="仿宋_GB2312"/>
                <w:sz w:val="28"/>
                <w:szCs w:val="28"/>
              </w:rPr>
            </w:pPr>
            <w:r>
              <w:rPr>
                <w:rFonts w:hint="eastAsia" w:ascii="仿宋_GB2312" w:eastAsia="仿宋_GB2312"/>
                <w:sz w:val="28"/>
                <w:szCs w:val="28"/>
              </w:rPr>
              <w:t>指导标准编写</w:t>
            </w:r>
          </w:p>
        </w:tc>
      </w:tr>
      <w:tr w14:paraId="2ADDA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noWrap w:val="0"/>
            <w:vAlign w:val="center"/>
          </w:tcPr>
          <w:p w14:paraId="0C5B0312">
            <w:pPr>
              <w:spacing w:line="360" w:lineRule="exact"/>
              <w:jc w:val="center"/>
              <w:rPr>
                <w:rFonts w:hint="eastAsia" w:ascii="仿宋_GB2312" w:eastAsia="仿宋_GB2312"/>
                <w:sz w:val="28"/>
                <w:szCs w:val="28"/>
              </w:rPr>
            </w:pPr>
            <w:r>
              <w:rPr>
                <w:rFonts w:hint="eastAsia" w:ascii="仿宋_GB2312" w:eastAsia="仿宋_GB2312"/>
                <w:sz w:val="28"/>
                <w:szCs w:val="28"/>
              </w:rPr>
              <w:t>孔宪辉</w:t>
            </w:r>
          </w:p>
        </w:tc>
        <w:tc>
          <w:tcPr>
            <w:tcW w:w="1026" w:type="dxa"/>
            <w:noWrap w:val="0"/>
            <w:vAlign w:val="center"/>
          </w:tcPr>
          <w:p w14:paraId="1560513D">
            <w:pPr>
              <w:spacing w:line="360" w:lineRule="exact"/>
              <w:jc w:val="center"/>
              <w:rPr>
                <w:rFonts w:hint="eastAsia" w:ascii="仿宋_GB2312" w:eastAsia="仿宋_GB2312"/>
                <w:sz w:val="28"/>
                <w:szCs w:val="28"/>
              </w:rPr>
            </w:pPr>
            <w:r>
              <w:rPr>
                <w:rFonts w:hint="eastAsia" w:ascii="仿宋_GB2312" w:eastAsia="仿宋_GB2312"/>
                <w:sz w:val="28"/>
                <w:szCs w:val="28"/>
              </w:rPr>
              <w:t>男</w:t>
            </w:r>
          </w:p>
        </w:tc>
        <w:tc>
          <w:tcPr>
            <w:tcW w:w="1996" w:type="dxa"/>
            <w:noWrap w:val="0"/>
            <w:vAlign w:val="center"/>
          </w:tcPr>
          <w:p w14:paraId="084422C0">
            <w:pPr>
              <w:spacing w:line="360" w:lineRule="exact"/>
              <w:jc w:val="center"/>
              <w:rPr>
                <w:rFonts w:hint="eastAsia" w:ascii="仿宋_GB2312" w:eastAsia="仿宋_GB2312"/>
                <w:sz w:val="28"/>
                <w:szCs w:val="28"/>
              </w:rPr>
            </w:pPr>
            <w:r>
              <w:rPr>
                <w:rFonts w:hint="eastAsia" w:ascii="仿宋_GB2312" w:eastAsia="仿宋_GB2312"/>
                <w:sz w:val="28"/>
                <w:szCs w:val="28"/>
              </w:rPr>
              <w:t>研究员</w:t>
            </w:r>
          </w:p>
        </w:tc>
        <w:tc>
          <w:tcPr>
            <w:tcW w:w="2636" w:type="dxa"/>
            <w:noWrap w:val="0"/>
            <w:vAlign w:val="center"/>
          </w:tcPr>
          <w:p w14:paraId="6454E908">
            <w:pPr>
              <w:spacing w:line="360" w:lineRule="exact"/>
              <w:jc w:val="center"/>
              <w:rPr>
                <w:rFonts w:hint="eastAsia" w:ascii="仿宋_GB2312" w:eastAsia="仿宋_GB2312"/>
                <w:sz w:val="28"/>
                <w:szCs w:val="28"/>
              </w:rPr>
            </w:pPr>
            <w:r>
              <w:rPr>
                <w:rFonts w:hint="eastAsia" w:ascii="仿宋_GB2312" w:eastAsia="仿宋_GB2312"/>
                <w:sz w:val="28"/>
                <w:szCs w:val="28"/>
              </w:rPr>
              <w:t>新疆农垦科学院</w:t>
            </w:r>
          </w:p>
        </w:tc>
        <w:tc>
          <w:tcPr>
            <w:tcW w:w="1596" w:type="dxa"/>
            <w:noWrap w:val="0"/>
            <w:vAlign w:val="center"/>
          </w:tcPr>
          <w:p w14:paraId="5892EC7A">
            <w:pPr>
              <w:spacing w:line="360" w:lineRule="exact"/>
              <w:jc w:val="center"/>
              <w:rPr>
                <w:rFonts w:hint="eastAsia" w:ascii="仿宋_GB2312" w:eastAsia="仿宋_GB2312"/>
                <w:sz w:val="28"/>
                <w:szCs w:val="28"/>
              </w:rPr>
            </w:pPr>
            <w:r>
              <w:rPr>
                <w:rFonts w:hint="eastAsia" w:ascii="仿宋_GB2312" w:eastAsia="仿宋_GB2312"/>
                <w:sz w:val="28"/>
                <w:szCs w:val="28"/>
              </w:rPr>
              <w:t>技术推广验证</w:t>
            </w:r>
          </w:p>
        </w:tc>
      </w:tr>
      <w:tr w14:paraId="67159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noWrap w:val="0"/>
            <w:vAlign w:val="center"/>
          </w:tcPr>
          <w:p w14:paraId="4FB346BF">
            <w:pPr>
              <w:spacing w:line="360" w:lineRule="exact"/>
              <w:jc w:val="center"/>
              <w:rPr>
                <w:rFonts w:hint="eastAsia" w:ascii="仿宋_GB2312" w:eastAsia="仿宋_GB2312"/>
                <w:sz w:val="28"/>
                <w:szCs w:val="28"/>
              </w:rPr>
            </w:pPr>
            <w:r>
              <w:rPr>
                <w:rFonts w:hint="eastAsia" w:ascii="仿宋_GB2312" w:eastAsia="仿宋_GB2312"/>
                <w:sz w:val="28"/>
                <w:szCs w:val="28"/>
              </w:rPr>
              <w:t>林海</w:t>
            </w:r>
          </w:p>
        </w:tc>
        <w:tc>
          <w:tcPr>
            <w:tcW w:w="1026" w:type="dxa"/>
            <w:noWrap w:val="0"/>
            <w:vAlign w:val="center"/>
          </w:tcPr>
          <w:p w14:paraId="54D36E7D">
            <w:pPr>
              <w:spacing w:line="360" w:lineRule="exact"/>
              <w:jc w:val="center"/>
              <w:rPr>
                <w:rFonts w:hint="eastAsia" w:ascii="仿宋_GB2312" w:eastAsia="仿宋_GB2312"/>
                <w:sz w:val="28"/>
                <w:szCs w:val="28"/>
              </w:rPr>
            </w:pPr>
            <w:r>
              <w:rPr>
                <w:rFonts w:hint="eastAsia" w:ascii="仿宋_GB2312" w:eastAsia="仿宋_GB2312"/>
                <w:sz w:val="28"/>
                <w:szCs w:val="28"/>
              </w:rPr>
              <w:t>男</w:t>
            </w:r>
          </w:p>
        </w:tc>
        <w:tc>
          <w:tcPr>
            <w:tcW w:w="1996" w:type="dxa"/>
            <w:noWrap w:val="0"/>
            <w:vAlign w:val="center"/>
          </w:tcPr>
          <w:p w14:paraId="478AE860">
            <w:pPr>
              <w:spacing w:line="360" w:lineRule="exact"/>
              <w:jc w:val="center"/>
              <w:rPr>
                <w:rFonts w:hint="eastAsia" w:ascii="仿宋_GB2312" w:eastAsia="仿宋_GB2312"/>
                <w:sz w:val="28"/>
                <w:szCs w:val="28"/>
              </w:rPr>
            </w:pPr>
            <w:r>
              <w:rPr>
                <w:rFonts w:hint="eastAsia" w:ascii="仿宋_GB2312" w:eastAsia="仿宋_GB2312"/>
                <w:sz w:val="28"/>
                <w:szCs w:val="28"/>
              </w:rPr>
              <w:t>研究员</w:t>
            </w:r>
          </w:p>
        </w:tc>
        <w:tc>
          <w:tcPr>
            <w:tcW w:w="2636" w:type="dxa"/>
            <w:noWrap w:val="0"/>
            <w:vAlign w:val="center"/>
          </w:tcPr>
          <w:p w14:paraId="42F323DF">
            <w:pPr>
              <w:spacing w:line="360" w:lineRule="exact"/>
              <w:jc w:val="center"/>
              <w:rPr>
                <w:rFonts w:hint="eastAsia" w:ascii="仿宋_GB2312" w:eastAsia="仿宋_GB2312"/>
                <w:sz w:val="28"/>
                <w:szCs w:val="28"/>
              </w:rPr>
            </w:pPr>
            <w:r>
              <w:rPr>
                <w:rFonts w:hint="eastAsia" w:ascii="仿宋_GB2312" w:eastAsia="仿宋_GB2312"/>
                <w:sz w:val="28"/>
                <w:szCs w:val="28"/>
              </w:rPr>
              <w:t>新疆农垦科学院</w:t>
            </w:r>
          </w:p>
        </w:tc>
        <w:tc>
          <w:tcPr>
            <w:tcW w:w="1596" w:type="dxa"/>
            <w:noWrap w:val="0"/>
            <w:vAlign w:val="center"/>
          </w:tcPr>
          <w:p w14:paraId="0FFABE23">
            <w:pPr>
              <w:spacing w:line="360" w:lineRule="exact"/>
              <w:jc w:val="center"/>
              <w:rPr>
                <w:rFonts w:hint="eastAsia" w:ascii="仿宋_GB2312" w:eastAsia="仿宋_GB2312"/>
                <w:sz w:val="28"/>
                <w:szCs w:val="28"/>
              </w:rPr>
            </w:pPr>
            <w:r>
              <w:rPr>
                <w:rFonts w:hint="eastAsia" w:ascii="仿宋_GB2312" w:eastAsia="仿宋_GB2312"/>
                <w:sz w:val="28"/>
                <w:szCs w:val="28"/>
              </w:rPr>
              <w:t>调研及标准起草</w:t>
            </w:r>
          </w:p>
        </w:tc>
      </w:tr>
      <w:tr w14:paraId="782ED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noWrap w:val="0"/>
            <w:vAlign w:val="center"/>
          </w:tcPr>
          <w:p w14:paraId="0A07EFF6">
            <w:pPr>
              <w:spacing w:line="360" w:lineRule="exact"/>
              <w:jc w:val="center"/>
              <w:rPr>
                <w:rFonts w:hint="eastAsia" w:ascii="仿宋_GB2312" w:eastAsia="仿宋_GB2312"/>
                <w:sz w:val="28"/>
                <w:szCs w:val="28"/>
              </w:rPr>
            </w:pPr>
            <w:r>
              <w:rPr>
                <w:rFonts w:hint="eastAsia" w:ascii="仿宋_GB2312" w:eastAsia="仿宋_GB2312"/>
                <w:sz w:val="28"/>
                <w:szCs w:val="28"/>
              </w:rPr>
              <w:t>宁新柱</w:t>
            </w:r>
          </w:p>
        </w:tc>
        <w:tc>
          <w:tcPr>
            <w:tcW w:w="1026" w:type="dxa"/>
            <w:noWrap w:val="0"/>
            <w:vAlign w:val="center"/>
          </w:tcPr>
          <w:p w14:paraId="67A9D8C8">
            <w:pPr>
              <w:spacing w:line="360" w:lineRule="exact"/>
              <w:jc w:val="center"/>
              <w:rPr>
                <w:rFonts w:hint="eastAsia" w:ascii="仿宋_GB2312" w:eastAsia="仿宋_GB2312"/>
                <w:sz w:val="28"/>
                <w:szCs w:val="28"/>
              </w:rPr>
            </w:pPr>
            <w:r>
              <w:rPr>
                <w:rFonts w:hint="eastAsia" w:ascii="仿宋_GB2312" w:eastAsia="仿宋_GB2312"/>
                <w:sz w:val="28"/>
                <w:szCs w:val="28"/>
              </w:rPr>
              <w:t>男</w:t>
            </w:r>
          </w:p>
        </w:tc>
        <w:tc>
          <w:tcPr>
            <w:tcW w:w="1996" w:type="dxa"/>
            <w:noWrap w:val="0"/>
            <w:vAlign w:val="center"/>
          </w:tcPr>
          <w:p w14:paraId="46F2E2A1">
            <w:pPr>
              <w:spacing w:line="360" w:lineRule="exact"/>
              <w:jc w:val="center"/>
              <w:rPr>
                <w:rFonts w:hint="eastAsia" w:ascii="仿宋_GB2312" w:eastAsia="仿宋_GB2312"/>
                <w:sz w:val="28"/>
                <w:szCs w:val="28"/>
              </w:rPr>
            </w:pPr>
            <w:r>
              <w:rPr>
                <w:rFonts w:hint="eastAsia" w:ascii="仿宋_GB2312" w:eastAsia="仿宋_GB2312"/>
                <w:sz w:val="28"/>
                <w:szCs w:val="28"/>
              </w:rPr>
              <w:t>研究员</w:t>
            </w:r>
          </w:p>
        </w:tc>
        <w:tc>
          <w:tcPr>
            <w:tcW w:w="2636" w:type="dxa"/>
            <w:noWrap w:val="0"/>
            <w:vAlign w:val="center"/>
          </w:tcPr>
          <w:p w14:paraId="3740C42B">
            <w:pPr>
              <w:spacing w:line="360" w:lineRule="exact"/>
              <w:jc w:val="center"/>
              <w:rPr>
                <w:rFonts w:hint="eastAsia" w:ascii="仿宋_GB2312" w:eastAsia="仿宋_GB2312"/>
                <w:sz w:val="28"/>
                <w:szCs w:val="28"/>
              </w:rPr>
            </w:pPr>
            <w:r>
              <w:rPr>
                <w:rFonts w:hint="eastAsia" w:ascii="仿宋_GB2312" w:eastAsia="仿宋_GB2312"/>
                <w:sz w:val="28"/>
                <w:szCs w:val="28"/>
              </w:rPr>
              <w:t>新疆农垦科学院</w:t>
            </w:r>
          </w:p>
        </w:tc>
        <w:tc>
          <w:tcPr>
            <w:tcW w:w="1596" w:type="dxa"/>
            <w:noWrap w:val="0"/>
            <w:vAlign w:val="center"/>
          </w:tcPr>
          <w:p w14:paraId="285F91DC">
            <w:pPr>
              <w:spacing w:line="360" w:lineRule="exact"/>
              <w:jc w:val="center"/>
              <w:rPr>
                <w:rFonts w:hint="eastAsia" w:ascii="仿宋_GB2312" w:eastAsia="仿宋_GB2312"/>
                <w:sz w:val="28"/>
                <w:szCs w:val="28"/>
              </w:rPr>
            </w:pPr>
            <w:r>
              <w:rPr>
                <w:rFonts w:hint="eastAsia" w:ascii="仿宋_GB2312" w:eastAsia="仿宋_GB2312"/>
                <w:sz w:val="28"/>
                <w:szCs w:val="28"/>
              </w:rPr>
              <w:t>技术推广验证</w:t>
            </w:r>
          </w:p>
        </w:tc>
      </w:tr>
      <w:tr w14:paraId="69BE0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noWrap w:val="0"/>
            <w:vAlign w:val="center"/>
          </w:tcPr>
          <w:p w14:paraId="61A9ECD9">
            <w:pPr>
              <w:spacing w:line="360" w:lineRule="exact"/>
              <w:jc w:val="center"/>
              <w:rPr>
                <w:rFonts w:hint="eastAsia" w:ascii="仿宋_GB2312" w:eastAsia="仿宋_GB2312"/>
                <w:sz w:val="28"/>
                <w:szCs w:val="28"/>
              </w:rPr>
            </w:pPr>
            <w:r>
              <w:rPr>
                <w:rFonts w:hint="eastAsia" w:ascii="仿宋_GB2312" w:eastAsia="仿宋_GB2312"/>
                <w:sz w:val="28"/>
                <w:szCs w:val="28"/>
              </w:rPr>
              <w:t>李保成</w:t>
            </w:r>
          </w:p>
        </w:tc>
        <w:tc>
          <w:tcPr>
            <w:tcW w:w="1026" w:type="dxa"/>
            <w:noWrap w:val="0"/>
            <w:vAlign w:val="center"/>
          </w:tcPr>
          <w:p w14:paraId="0F0D25D1">
            <w:pPr>
              <w:spacing w:line="360" w:lineRule="exact"/>
              <w:jc w:val="center"/>
              <w:rPr>
                <w:rFonts w:hint="eastAsia" w:ascii="仿宋_GB2312" w:eastAsia="仿宋_GB2312"/>
                <w:sz w:val="28"/>
                <w:szCs w:val="28"/>
              </w:rPr>
            </w:pPr>
            <w:r>
              <w:rPr>
                <w:rFonts w:hint="eastAsia" w:ascii="仿宋_GB2312" w:eastAsia="仿宋_GB2312"/>
                <w:sz w:val="28"/>
                <w:szCs w:val="28"/>
              </w:rPr>
              <w:t>男</w:t>
            </w:r>
          </w:p>
        </w:tc>
        <w:tc>
          <w:tcPr>
            <w:tcW w:w="1996" w:type="dxa"/>
            <w:noWrap w:val="0"/>
            <w:vAlign w:val="center"/>
          </w:tcPr>
          <w:p w14:paraId="3A1D519B">
            <w:pPr>
              <w:spacing w:line="360" w:lineRule="exact"/>
              <w:jc w:val="center"/>
              <w:rPr>
                <w:rFonts w:hint="eastAsia" w:ascii="仿宋_GB2312" w:eastAsia="仿宋_GB2312"/>
                <w:sz w:val="28"/>
                <w:szCs w:val="28"/>
              </w:rPr>
            </w:pPr>
            <w:r>
              <w:rPr>
                <w:rFonts w:hint="eastAsia" w:ascii="仿宋_GB2312" w:eastAsia="仿宋_GB2312"/>
                <w:sz w:val="28"/>
                <w:szCs w:val="28"/>
              </w:rPr>
              <w:t>研究员</w:t>
            </w:r>
          </w:p>
        </w:tc>
        <w:tc>
          <w:tcPr>
            <w:tcW w:w="2636" w:type="dxa"/>
            <w:noWrap w:val="0"/>
            <w:vAlign w:val="center"/>
          </w:tcPr>
          <w:p w14:paraId="615B06D4">
            <w:pPr>
              <w:spacing w:line="360" w:lineRule="exact"/>
              <w:jc w:val="center"/>
              <w:rPr>
                <w:rFonts w:hint="eastAsia" w:ascii="仿宋_GB2312" w:eastAsia="仿宋_GB2312"/>
                <w:sz w:val="28"/>
                <w:szCs w:val="28"/>
              </w:rPr>
            </w:pPr>
            <w:r>
              <w:rPr>
                <w:rFonts w:hint="eastAsia" w:ascii="仿宋_GB2312" w:eastAsia="仿宋_GB2312"/>
                <w:sz w:val="28"/>
                <w:szCs w:val="28"/>
              </w:rPr>
              <w:t>新疆农垦科学院</w:t>
            </w:r>
          </w:p>
        </w:tc>
        <w:tc>
          <w:tcPr>
            <w:tcW w:w="1596" w:type="dxa"/>
            <w:noWrap w:val="0"/>
            <w:vAlign w:val="center"/>
          </w:tcPr>
          <w:p w14:paraId="31563AEB">
            <w:pPr>
              <w:spacing w:line="360" w:lineRule="exact"/>
              <w:jc w:val="center"/>
              <w:rPr>
                <w:rFonts w:hint="eastAsia" w:ascii="仿宋_GB2312" w:eastAsia="仿宋_GB2312"/>
                <w:sz w:val="28"/>
                <w:szCs w:val="28"/>
              </w:rPr>
            </w:pPr>
            <w:r>
              <w:rPr>
                <w:rFonts w:hint="eastAsia" w:ascii="仿宋_GB2312" w:eastAsia="仿宋_GB2312"/>
                <w:sz w:val="28"/>
                <w:szCs w:val="28"/>
              </w:rPr>
              <w:t>指导标准编写</w:t>
            </w:r>
          </w:p>
        </w:tc>
      </w:tr>
      <w:tr w14:paraId="48DA6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noWrap w:val="0"/>
            <w:vAlign w:val="center"/>
          </w:tcPr>
          <w:p w14:paraId="6A8CBD10">
            <w:pPr>
              <w:spacing w:line="360" w:lineRule="exact"/>
              <w:jc w:val="center"/>
              <w:rPr>
                <w:rFonts w:hint="eastAsia" w:ascii="仿宋_GB2312" w:eastAsia="仿宋_GB2312"/>
                <w:sz w:val="28"/>
                <w:szCs w:val="28"/>
              </w:rPr>
            </w:pPr>
            <w:r>
              <w:rPr>
                <w:rFonts w:hint="eastAsia" w:ascii="仿宋_GB2312" w:eastAsia="仿宋_GB2312"/>
                <w:sz w:val="28"/>
                <w:szCs w:val="28"/>
              </w:rPr>
              <w:t>傅积海</w:t>
            </w:r>
          </w:p>
        </w:tc>
        <w:tc>
          <w:tcPr>
            <w:tcW w:w="1026" w:type="dxa"/>
            <w:noWrap w:val="0"/>
            <w:vAlign w:val="center"/>
          </w:tcPr>
          <w:p w14:paraId="46735F10">
            <w:pPr>
              <w:spacing w:line="360" w:lineRule="exact"/>
              <w:jc w:val="center"/>
              <w:rPr>
                <w:rFonts w:hint="eastAsia" w:ascii="仿宋_GB2312" w:eastAsia="仿宋_GB2312"/>
                <w:sz w:val="28"/>
                <w:szCs w:val="28"/>
              </w:rPr>
            </w:pPr>
            <w:r>
              <w:rPr>
                <w:rFonts w:hint="eastAsia" w:ascii="仿宋_GB2312" w:eastAsia="仿宋_GB2312"/>
                <w:sz w:val="28"/>
                <w:szCs w:val="28"/>
              </w:rPr>
              <w:t>男</w:t>
            </w:r>
          </w:p>
        </w:tc>
        <w:tc>
          <w:tcPr>
            <w:tcW w:w="1996" w:type="dxa"/>
            <w:noWrap w:val="0"/>
            <w:vAlign w:val="center"/>
          </w:tcPr>
          <w:p w14:paraId="07DC4F08">
            <w:pPr>
              <w:spacing w:line="360" w:lineRule="exact"/>
              <w:jc w:val="center"/>
              <w:rPr>
                <w:rFonts w:hint="eastAsia" w:ascii="仿宋_GB2312" w:eastAsia="仿宋_GB2312"/>
                <w:sz w:val="28"/>
                <w:szCs w:val="28"/>
              </w:rPr>
            </w:pPr>
            <w:r>
              <w:rPr>
                <w:rFonts w:hint="eastAsia" w:ascii="仿宋_GB2312" w:eastAsia="仿宋_GB2312"/>
                <w:sz w:val="28"/>
                <w:szCs w:val="28"/>
              </w:rPr>
              <w:t>助理研究员</w:t>
            </w:r>
          </w:p>
        </w:tc>
        <w:tc>
          <w:tcPr>
            <w:tcW w:w="2636" w:type="dxa"/>
            <w:noWrap w:val="0"/>
            <w:vAlign w:val="center"/>
          </w:tcPr>
          <w:p w14:paraId="7F57E437">
            <w:pPr>
              <w:spacing w:line="360" w:lineRule="exact"/>
              <w:jc w:val="center"/>
              <w:rPr>
                <w:rFonts w:hint="eastAsia" w:ascii="仿宋_GB2312" w:eastAsia="仿宋_GB2312"/>
                <w:sz w:val="28"/>
                <w:szCs w:val="28"/>
              </w:rPr>
            </w:pPr>
            <w:r>
              <w:rPr>
                <w:rFonts w:hint="eastAsia" w:ascii="仿宋_GB2312" w:eastAsia="仿宋_GB2312"/>
                <w:sz w:val="28"/>
                <w:szCs w:val="28"/>
              </w:rPr>
              <w:t>新疆农垦科学院</w:t>
            </w:r>
          </w:p>
        </w:tc>
        <w:tc>
          <w:tcPr>
            <w:tcW w:w="1596" w:type="dxa"/>
            <w:noWrap w:val="0"/>
            <w:vAlign w:val="center"/>
          </w:tcPr>
          <w:p w14:paraId="61388A31">
            <w:pPr>
              <w:spacing w:line="360" w:lineRule="exact"/>
              <w:jc w:val="center"/>
              <w:rPr>
                <w:rFonts w:hint="eastAsia" w:ascii="仿宋_GB2312" w:eastAsia="仿宋_GB2312"/>
                <w:sz w:val="28"/>
                <w:szCs w:val="28"/>
              </w:rPr>
            </w:pPr>
            <w:r>
              <w:rPr>
                <w:rFonts w:hint="eastAsia" w:ascii="仿宋_GB2312" w:eastAsia="仿宋_GB2312"/>
                <w:sz w:val="28"/>
                <w:szCs w:val="28"/>
              </w:rPr>
              <w:t>田间调查</w:t>
            </w:r>
          </w:p>
        </w:tc>
      </w:tr>
      <w:tr w14:paraId="00984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noWrap w:val="0"/>
            <w:vAlign w:val="center"/>
          </w:tcPr>
          <w:p w14:paraId="527C6DDF">
            <w:pPr>
              <w:spacing w:line="360" w:lineRule="exact"/>
              <w:jc w:val="center"/>
              <w:rPr>
                <w:rFonts w:hint="eastAsia" w:ascii="仿宋_GB2312" w:eastAsia="仿宋_GB2312"/>
                <w:sz w:val="28"/>
                <w:szCs w:val="28"/>
              </w:rPr>
            </w:pPr>
            <w:r>
              <w:rPr>
                <w:rFonts w:hint="eastAsia" w:ascii="仿宋_GB2312" w:eastAsia="仿宋_GB2312"/>
                <w:sz w:val="28"/>
                <w:szCs w:val="28"/>
              </w:rPr>
              <w:t>陈伟明</w:t>
            </w:r>
          </w:p>
        </w:tc>
        <w:tc>
          <w:tcPr>
            <w:tcW w:w="1026" w:type="dxa"/>
            <w:noWrap w:val="0"/>
            <w:vAlign w:val="center"/>
          </w:tcPr>
          <w:p w14:paraId="588DCE70">
            <w:pPr>
              <w:spacing w:line="360" w:lineRule="exact"/>
              <w:jc w:val="center"/>
              <w:rPr>
                <w:rFonts w:hint="eastAsia" w:ascii="仿宋_GB2312" w:eastAsia="仿宋_GB2312"/>
                <w:sz w:val="28"/>
                <w:szCs w:val="28"/>
              </w:rPr>
            </w:pPr>
            <w:r>
              <w:rPr>
                <w:rFonts w:hint="eastAsia" w:ascii="仿宋_GB2312" w:eastAsia="仿宋_GB2312"/>
                <w:sz w:val="28"/>
                <w:szCs w:val="28"/>
              </w:rPr>
              <w:t>男</w:t>
            </w:r>
          </w:p>
        </w:tc>
        <w:tc>
          <w:tcPr>
            <w:tcW w:w="1996" w:type="dxa"/>
            <w:noWrap w:val="0"/>
            <w:vAlign w:val="center"/>
          </w:tcPr>
          <w:p w14:paraId="79F600EE">
            <w:pPr>
              <w:spacing w:line="360" w:lineRule="exact"/>
              <w:jc w:val="center"/>
              <w:rPr>
                <w:rFonts w:hint="eastAsia" w:ascii="仿宋_GB2312" w:eastAsia="仿宋_GB2312"/>
                <w:sz w:val="28"/>
                <w:szCs w:val="28"/>
              </w:rPr>
            </w:pPr>
            <w:r>
              <w:rPr>
                <w:rFonts w:hint="eastAsia" w:ascii="仿宋_GB2312" w:eastAsia="仿宋_GB2312"/>
                <w:sz w:val="28"/>
                <w:szCs w:val="28"/>
              </w:rPr>
              <w:t>研究实习员</w:t>
            </w:r>
          </w:p>
        </w:tc>
        <w:tc>
          <w:tcPr>
            <w:tcW w:w="2636" w:type="dxa"/>
            <w:noWrap w:val="0"/>
            <w:vAlign w:val="center"/>
          </w:tcPr>
          <w:p w14:paraId="57CE6C55">
            <w:pPr>
              <w:spacing w:line="360" w:lineRule="exact"/>
              <w:jc w:val="center"/>
              <w:rPr>
                <w:rFonts w:hint="eastAsia" w:ascii="仿宋_GB2312" w:eastAsia="仿宋_GB2312"/>
                <w:sz w:val="28"/>
                <w:szCs w:val="28"/>
              </w:rPr>
            </w:pPr>
            <w:r>
              <w:rPr>
                <w:rFonts w:hint="eastAsia" w:ascii="仿宋_GB2312" w:eastAsia="仿宋_GB2312"/>
                <w:sz w:val="28"/>
                <w:szCs w:val="28"/>
              </w:rPr>
              <w:t>新疆农垦科学院</w:t>
            </w:r>
          </w:p>
        </w:tc>
        <w:tc>
          <w:tcPr>
            <w:tcW w:w="1596" w:type="dxa"/>
            <w:noWrap w:val="0"/>
            <w:vAlign w:val="center"/>
          </w:tcPr>
          <w:p w14:paraId="29FA83ED">
            <w:pPr>
              <w:spacing w:line="360" w:lineRule="exact"/>
              <w:jc w:val="center"/>
              <w:rPr>
                <w:rFonts w:hint="eastAsia" w:ascii="仿宋_GB2312" w:eastAsia="仿宋_GB2312"/>
                <w:sz w:val="28"/>
                <w:szCs w:val="28"/>
              </w:rPr>
            </w:pPr>
            <w:r>
              <w:rPr>
                <w:rFonts w:hint="eastAsia" w:ascii="仿宋_GB2312" w:eastAsia="仿宋_GB2312"/>
                <w:sz w:val="28"/>
                <w:szCs w:val="28"/>
              </w:rPr>
              <w:t>田间调查</w:t>
            </w:r>
          </w:p>
        </w:tc>
      </w:tr>
      <w:tr w14:paraId="7459C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noWrap w:val="0"/>
            <w:vAlign w:val="center"/>
          </w:tcPr>
          <w:p w14:paraId="3B7C0086">
            <w:pPr>
              <w:spacing w:line="360" w:lineRule="exact"/>
              <w:jc w:val="center"/>
              <w:rPr>
                <w:rFonts w:hint="eastAsia" w:ascii="仿宋_GB2312" w:eastAsia="仿宋_GB2312"/>
                <w:sz w:val="28"/>
                <w:szCs w:val="28"/>
              </w:rPr>
            </w:pPr>
            <w:r>
              <w:rPr>
                <w:rFonts w:hint="eastAsia" w:ascii="仿宋_GB2312" w:eastAsia="仿宋_GB2312"/>
                <w:sz w:val="28"/>
                <w:szCs w:val="28"/>
              </w:rPr>
              <w:t>董承光</w:t>
            </w:r>
          </w:p>
        </w:tc>
        <w:tc>
          <w:tcPr>
            <w:tcW w:w="1026" w:type="dxa"/>
            <w:noWrap w:val="0"/>
            <w:vAlign w:val="center"/>
          </w:tcPr>
          <w:p w14:paraId="684959AB">
            <w:pPr>
              <w:spacing w:line="360" w:lineRule="exact"/>
              <w:jc w:val="center"/>
              <w:rPr>
                <w:rFonts w:hint="eastAsia" w:ascii="仿宋_GB2312" w:eastAsia="仿宋_GB2312"/>
                <w:sz w:val="28"/>
                <w:szCs w:val="28"/>
              </w:rPr>
            </w:pPr>
            <w:r>
              <w:rPr>
                <w:rFonts w:hint="eastAsia" w:ascii="仿宋_GB2312" w:eastAsia="仿宋_GB2312"/>
                <w:sz w:val="28"/>
                <w:szCs w:val="28"/>
              </w:rPr>
              <w:t>男</w:t>
            </w:r>
          </w:p>
        </w:tc>
        <w:tc>
          <w:tcPr>
            <w:tcW w:w="1996" w:type="dxa"/>
            <w:noWrap w:val="0"/>
            <w:vAlign w:val="center"/>
          </w:tcPr>
          <w:p w14:paraId="3E7E030F">
            <w:pPr>
              <w:spacing w:line="360" w:lineRule="exact"/>
              <w:jc w:val="center"/>
              <w:rPr>
                <w:rFonts w:hint="eastAsia" w:ascii="仿宋_GB2312" w:eastAsia="仿宋_GB2312"/>
                <w:sz w:val="28"/>
                <w:szCs w:val="28"/>
              </w:rPr>
            </w:pPr>
            <w:r>
              <w:rPr>
                <w:rFonts w:hint="eastAsia" w:ascii="仿宋_GB2312" w:eastAsia="仿宋_GB2312"/>
                <w:sz w:val="28"/>
                <w:szCs w:val="28"/>
              </w:rPr>
              <w:t>研究员</w:t>
            </w:r>
          </w:p>
        </w:tc>
        <w:tc>
          <w:tcPr>
            <w:tcW w:w="2636" w:type="dxa"/>
            <w:noWrap w:val="0"/>
            <w:vAlign w:val="center"/>
          </w:tcPr>
          <w:p w14:paraId="11B987A9">
            <w:pPr>
              <w:spacing w:line="360" w:lineRule="exact"/>
              <w:jc w:val="center"/>
              <w:rPr>
                <w:rFonts w:hint="eastAsia" w:ascii="仿宋_GB2312" w:eastAsia="仿宋_GB2312"/>
                <w:sz w:val="28"/>
                <w:szCs w:val="28"/>
              </w:rPr>
            </w:pPr>
            <w:r>
              <w:rPr>
                <w:rFonts w:hint="eastAsia" w:ascii="仿宋_GB2312" w:eastAsia="仿宋_GB2312"/>
                <w:sz w:val="28"/>
                <w:szCs w:val="28"/>
              </w:rPr>
              <w:t>新疆农垦科学院</w:t>
            </w:r>
          </w:p>
        </w:tc>
        <w:tc>
          <w:tcPr>
            <w:tcW w:w="1596" w:type="dxa"/>
            <w:noWrap w:val="0"/>
            <w:vAlign w:val="center"/>
          </w:tcPr>
          <w:p w14:paraId="49698EDB">
            <w:pPr>
              <w:spacing w:line="360" w:lineRule="exact"/>
              <w:jc w:val="center"/>
              <w:rPr>
                <w:rFonts w:hint="eastAsia" w:ascii="仿宋_GB2312" w:eastAsia="仿宋_GB2312"/>
                <w:sz w:val="28"/>
                <w:szCs w:val="28"/>
              </w:rPr>
            </w:pPr>
            <w:r>
              <w:rPr>
                <w:rFonts w:hint="eastAsia" w:ascii="仿宋_GB2312" w:eastAsia="仿宋_GB2312"/>
                <w:sz w:val="28"/>
                <w:szCs w:val="28"/>
              </w:rPr>
              <w:t>技术推广验证</w:t>
            </w:r>
          </w:p>
        </w:tc>
      </w:tr>
      <w:tr w14:paraId="7F7A9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noWrap w:val="0"/>
            <w:vAlign w:val="center"/>
          </w:tcPr>
          <w:p w14:paraId="5C35378D">
            <w:pPr>
              <w:spacing w:line="360" w:lineRule="exact"/>
              <w:jc w:val="center"/>
              <w:rPr>
                <w:rFonts w:hint="eastAsia" w:ascii="仿宋_GB2312" w:eastAsia="仿宋_GB2312"/>
                <w:sz w:val="28"/>
                <w:szCs w:val="28"/>
              </w:rPr>
            </w:pPr>
            <w:r>
              <w:rPr>
                <w:rFonts w:hint="eastAsia" w:ascii="仿宋_GB2312" w:eastAsia="仿宋_GB2312"/>
                <w:sz w:val="28"/>
                <w:szCs w:val="28"/>
              </w:rPr>
              <w:t>周小凤</w:t>
            </w:r>
          </w:p>
        </w:tc>
        <w:tc>
          <w:tcPr>
            <w:tcW w:w="1026" w:type="dxa"/>
            <w:noWrap w:val="0"/>
            <w:vAlign w:val="center"/>
          </w:tcPr>
          <w:p w14:paraId="011E8C35">
            <w:pPr>
              <w:spacing w:line="360" w:lineRule="exact"/>
              <w:jc w:val="center"/>
              <w:rPr>
                <w:rFonts w:hint="eastAsia" w:ascii="仿宋_GB2312" w:eastAsia="仿宋_GB2312"/>
                <w:sz w:val="28"/>
                <w:szCs w:val="28"/>
              </w:rPr>
            </w:pPr>
            <w:r>
              <w:rPr>
                <w:rFonts w:hint="eastAsia" w:ascii="仿宋_GB2312" w:eastAsia="仿宋_GB2312"/>
                <w:sz w:val="28"/>
                <w:szCs w:val="28"/>
              </w:rPr>
              <w:t>女</w:t>
            </w:r>
          </w:p>
        </w:tc>
        <w:tc>
          <w:tcPr>
            <w:tcW w:w="1996" w:type="dxa"/>
            <w:noWrap w:val="0"/>
            <w:vAlign w:val="center"/>
          </w:tcPr>
          <w:p w14:paraId="6C758A76">
            <w:pPr>
              <w:spacing w:line="360" w:lineRule="exact"/>
              <w:jc w:val="center"/>
              <w:rPr>
                <w:rFonts w:hint="eastAsia" w:ascii="仿宋_GB2312" w:eastAsia="仿宋_GB2312"/>
                <w:sz w:val="28"/>
                <w:szCs w:val="28"/>
              </w:rPr>
            </w:pPr>
            <w:r>
              <w:rPr>
                <w:rFonts w:hint="eastAsia" w:ascii="仿宋_GB2312" w:eastAsia="仿宋_GB2312"/>
                <w:sz w:val="28"/>
                <w:szCs w:val="28"/>
              </w:rPr>
              <w:t>研究员</w:t>
            </w:r>
          </w:p>
        </w:tc>
        <w:tc>
          <w:tcPr>
            <w:tcW w:w="2636" w:type="dxa"/>
            <w:noWrap w:val="0"/>
            <w:vAlign w:val="center"/>
          </w:tcPr>
          <w:p w14:paraId="709DDA60">
            <w:pPr>
              <w:spacing w:line="360" w:lineRule="exact"/>
              <w:jc w:val="center"/>
              <w:rPr>
                <w:rFonts w:hint="eastAsia" w:ascii="仿宋_GB2312" w:eastAsia="仿宋_GB2312"/>
                <w:sz w:val="28"/>
                <w:szCs w:val="28"/>
              </w:rPr>
            </w:pPr>
            <w:r>
              <w:rPr>
                <w:rFonts w:hint="eastAsia" w:ascii="仿宋_GB2312" w:eastAsia="仿宋_GB2312"/>
                <w:sz w:val="28"/>
                <w:szCs w:val="28"/>
              </w:rPr>
              <w:t>新疆农垦科学院</w:t>
            </w:r>
          </w:p>
        </w:tc>
        <w:tc>
          <w:tcPr>
            <w:tcW w:w="1596" w:type="dxa"/>
            <w:noWrap w:val="0"/>
            <w:vAlign w:val="center"/>
          </w:tcPr>
          <w:p w14:paraId="5D2C6E8D">
            <w:pPr>
              <w:spacing w:line="360" w:lineRule="exact"/>
              <w:jc w:val="center"/>
              <w:rPr>
                <w:rFonts w:hint="eastAsia" w:ascii="仿宋_GB2312" w:eastAsia="仿宋_GB2312"/>
                <w:sz w:val="28"/>
                <w:szCs w:val="28"/>
              </w:rPr>
            </w:pPr>
            <w:r>
              <w:rPr>
                <w:rFonts w:hint="eastAsia" w:ascii="仿宋_GB2312" w:eastAsia="仿宋_GB2312"/>
                <w:sz w:val="28"/>
                <w:szCs w:val="28"/>
              </w:rPr>
              <w:t>调研及标准起草</w:t>
            </w:r>
          </w:p>
        </w:tc>
      </w:tr>
      <w:tr w14:paraId="5BADF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noWrap w:val="0"/>
            <w:vAlign w:val="center"/>
          </w:tcPr>
          <w:p w14:paraId="69E377F3">
            <w:pPr>
              <w:spacing w:line="360" w:lineRule="exact"/>
              <w:jc w:val="center"/>
              <w:rPr>
                <w:rFonts w:hint="eastAsia" w:ascii="仿宋_GB2312" w:eastAsia="仿宋_GB2312"/>
                <w:sz w:val="28"/>
                <w:szCs w:val="28"/>
              </w:rPr>
            </w:pPr>
            <w:r>
              <w:rPr>
                <w:rFonts w:hint="eastAsia" w:ascii="仿宋_GB2312" w:eastAsia="仿宋_GB2312"/>
                <w:sz w:val="28"/>
                <w:szCs w:val="28"/>
              </w:rPr>
              <w:t>田琴</w:t>
            </w:r>
          </w:p>
        </w:tc>
        <w:tc>
          <w:tcPr>
            <w:tcW w:w="1026" w:type="dxa"/>
            <w:noWrap w:val="0"/>
            <w:vAlign w:val="center"/>
          </w:tcPr>
          <w:p w14:paraId="3396F9F4">
            <w:pPr>
              <w:spacing w:line="360" w:lineRule="exact"/>
              <w:jc w:val="center"/>
              <w:rPr>
                <w:rFonts w:hint="eastAsia" w:ascii="仿宋_GB2312" w:eastAsia="仿宋_GB2312"/>
                <w:sz w:val="28"/>
                <w:szCs w:val="28"/>
              </w:rPr>
            </w:pPr>
            <w:r>
              <w:rPr>
                <w:rFonts w:hint="eastAsia" w:ascii="仿宋_GB2312" w:eastAsia="仿宋_GB2312"/>
                <w:sz w:val="28"/>
                <w:szCs w:val="28"/>
              </w:rPr>
              <w:t>女</w:t>
            </w:r>
          </w:p>
        </w:tc>
        <w:tc>
          <w:tcPr>
            <w:tcW w:w="1996" w:type="dxa"/>
            <w:noWrap w:val="0"/>
            <w:vAlign w:val="center"/>
          </w:tcPr>
          <w:p w14:paraId="4A4DBD58">
            <w:pPr>
              <w:spacing w:line="360" w:lineRule="exact"/>
              <w:jc w:val="center"/>
              <w:rPr>
                <w:rFonts w:hint="eastAsia" w:ascii="仿宋_GB2312" w:eastAsia="仿宋_GB2312"/>
                <w:sz w:val="28"/>
                <w:szCs w:val="28"/>
              </w:rPr>
            </w:pPr>
            <w:r>
              <w:rPr>
                <w:rFonts w:hint="eastAsia" w:ascii="仿宋_GB2312" w:eastAsia="仿宋_GB2312"/>
                <w:sz w:val="28"/>
                <w:szCs w:val="28"/>
              </w:rPr>
              <w:t>副研究员</w:t>
            </w:r>
          </w:p>
        </w:tc>
        <w:tc>
          <w:tcPr>
            <w:tcW w:w="2636" w:type="dxa"/>
            <w:noWrap w:val="0"/>
            <w:vAlign w:val="center"/>
          </w:tcPr>
          <w:p w14:paraId="344DB6E9">
            <w:pPr>
              <w:spacing w:line="360" w:lineRule="exact"/>
              <w:jc w:val="center"/>
              <w:rPr>
                <w:rFonts w:hint="eastAsia" w:ascii="仿宋_GB2312" w:eastAsia="仿宋_GB2312"/>
                <w:sz w:val="28"/>
                <w:szCs w:val="28"/>
              </w:rPr>
            </w:pPr>
            <w:r>
              <w:rPr>
                <w:rFonts w:hint="eastAsia" w:ascii="仿宋_GB2312" w:eastAsia="仿宋_GB2312"/>
                <w:sz w:val="28"/>
                <w:szCs w:val="28"/>
              </w:rPr>
              <w:t>新疆农垦科学院</w:t>
            </w:r>
          </w:p>
        </w:tc>
        <w:tc>
          <w:tcPr>
            <w:tcW w:w="1596" w:type="dxa"/>
            <w:noWrap w:val="0"/>
            <w:vAlign w:val="center"/>
          </w:tcPr>
          <w:p w14:paraId="4C058016">
            <w:pPr>
              <w:spacing w:line="360" w:lineRule="exact"/>
              <w:jc w:val="center"/>
              <w:rPr>
                <w:rFonts w:hint="eastAsia" w:ascii="仿宋_GB2312" w:eastAsia="仿宋_GB2312"/>
                <w:sz w:val="28"/>
                <w:szCs w:val="28"/>
              </w:rPr>
            </w:pPr>
            <w:r>
              <w:rPr>
                <w:rFonts w:hint="eastAsia" w:ascii="仿宋_GB2312" w:eastAsia="仿宋_GB2312"/>
                <w:sz w:val="28"/>
                <w:szCs w:val="28"/>
              </w:rPr>
              <w:t>数据分析</w:t>
            </w:r>
          </w:p>
        </w:tc>
      </w:tr>
      <w:tr w14:paraId="438B6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noWrap w:val="0"/>
            <w:vAlign w:val="center"/>
          </w:tcPr>
          <w:p w14:paraId="42508D01">
            <w:pPr>
              <w:spacing w:line="360" w:lineRule="exact"/>
              <w:jc w:val="center"/>
              <w:rPr>
                <w:rFonts w:hint="eastAsia" w:ascii="仿宋_GB2312" w:eastAsia="仿宋_GB2312"/>
                <w:sz w:val="28"/>
                <w:szCs w:val="28"/>
              </w:rPr>
            </w:pPr>
            <w:r>
              <w:rPr>
                <w:rFonts w:hint="eastAsia" w:ascii="仿宋_GB2312" w:eastAsia="仿宋_GB2312"/>
                <w:sz w:val="28"/>
                <w:szCs w:val="28"/>
              </w:rPr>
              <w:t>陈兵</w:t>
            </w:r>
          </w:p>
        </w:tc>
        <w:tc>
          <w:tcPr>
            <w:tcW w:w="1026" w:type="dxa"/>
            <w:noWrap w:val="0"/>
            <w:vAlign w:val="center"/>
          </w:tcPr>
          <w:p w14:paraId="5517A3E8">
            <w:pPr>
              <w:spacing w:line="360" w:lineRule="exact"/>
              <w:jc w:val="center"/>
              <w:rPr>
                <w:rFonts w:hint="eastAsia" w:ascii="仿宋_GB2312" w:eastAsia="仿宋_GB2312"/>
                <w:sz w:val="28"/>
                <w:szCs w:val="28"/>
              </w:rPr>
            </w:pPr>
            <w:r>
              <w:rPr>
                <w:rFonts w:hint="eastAsia" w:ascii="仿宋_GB2312" w:eastAsia="仿宋_GB2312"/>
                <w:sz w:val="28"/>
                <w:szCs w:val="28"/>
              </w:rPr>
              <w:t>男</w:t>
            </w:r>
          </w:p>
        </w:tc>
        <w:tc>
          <w:tcPr>
            <w:tcW w:w="1996" w:type="dxa"/>
            <w:noWrap w:val="0"/>
            <w:vAlign w:val="center"/>
          </w:tcPr>
          <w:p w14:paraId="24AE95CD">
            <w:pPr>
              <w:spacing w:line="360" w:lineRule="exact"/>
              <w:jc w:val="center"/>
              <w:rPr>
                <w:rFonts w:hint="eastAsia" w:ascii="仿宋_GB2312" w:eastAsia="仿宋_GB2312"/>
                <w:sz w:val="28"/>
                <w:szCs w:val="28"/>
              </w:rPr>
            </w:pPr>
            <w:r>
              <w:rPr>
                <w:rFonts w:hint="eastAsia" w:ascii="仿宋_GB2312" w:eastAsia="仿宋_GB2312"/>
                <w:sz w:val="28"/>
                <w:szCs w:val="28"/>
              </w:rPr>
              <w:t>研究员</w:t>
            </w:r>
          </w:p>
        </w:tc>
        <w:tc>
          <w:tcPr>
            <w:tcW w:w="2636" w:type="dxa"/>
            <w:noWrap w:val="0"/>
            <w:vAlign w:val="center"/>
          </w:tcPr>
          <w:p w14:paraId="60A9D222">
            <w:pPr>
              <w:spacing w:line="360" w:lineRule="exact"/>
              <w:jc w:val="center"/>
              <w:rPr>
                <w:rFonts w:hint="eastAsia" w:ascii="仿宋_GB2312" w:eastAsia="仿宋_GB2312"/>
                <w:sz w:val="28"/>
                <w:szCs w:val="28"/>
              </w:rPr>
            </w:pPr>
            <w:r>
              <w:rPr>
                <w:rFonts w:hint="eastAsia" w:ascii="仿宋_GB2312" w:eastAsia="仿宋_GB2312"/>
                <w:sz w:val="28"/>
                <w:szCs w:val="28"/>
              </w:rPr>
              <w:t>新疆农垦科学院</w:t>
            </w:r>
          </w:p>
        </w:tc>
        <w:tc>
          <w:tcPr>
            <w:tcW w:w="1596" w:type="dxa"/>
            <w:noWrap w:val="0"/>
            <w:vAlign w:val="center"/>
          </w:tcPr>
          <w:p w14:paraId="0CEB753F">
            <w:pPr>
              <w:spacing w:line="360" w:lineRule="exact"/>
              <w:jc w:val="center"/>
              <w:rPr>
                <w:rFonts w:hint="eastAsia" w:ascii="仿宋_GB2312" w:eastAsia="仿宋_GB2312"/>
                <w:sz w:val="28"/>
                <w:szCs w:val="28"/>
              </w:rPr>
            </w:pPr>
            <w:r>
              <w:rPr>
                <w:rFonts w:hint="eastAsia" w:ascii="仿宋_GB2312" w:eastAsia="仿宋_GB2312"/>
                <w:sz w:val="28"/>
                <w:szCs w:val="28"/>
              </w:rPr>
              <w:t>数据分析</w:t>
            </w:r>
          </w:p>
        </w:tc>
      </w:tr>
      <w:tr w14:paraId="4F75F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noWrap w:val="0"/>
            <w:vAlign w:val="center"/>
          </w:tcPr>
          <w:p w14:paraId="5F2AA679">
            <w:pPr>
              <w:spacing w:line="360" w:lineRule="exact"/>
              <w:jc w:val="center"/>
              <w:rPr>
                <w:rFonts w:hint="eastAsia" w:ascii="仿宋_GB2312" w:eastAsia="仿宋_GB2312"/>
                <w:sz w:val="28"/>
                <w:szCs w:val="28"/>
              </w:rPr>
            </w:pPr>
            <w:r>
              <w:rPr>
                <w:rFonts w:hint="eastAsia" w:ascii="仿宋_GB2312" w:eastAsia="仿宋_GB2312"/>
                <w:sz w:val="28"/>
                <w:szCs w:val="28"/>
              </w:rPr>
              <w:t>王旭文</w:t>
            </w:r>
          </w:p>
        </w:tc>
        <w:tc>
          <w:tcPr>
            <w:tcW w:w="1026" w:type="dxa"/>
            <w:noWrap w:val="0"/>
            <w:vAlign w:val="center"/>
          </w:tcPr>
          <w:p w14:paraId="4B2EABD8">
            <w:pPr>
              <w:spacing w:line="360" w:lineRule="exact"/>
              <w:jc w:val="center"/>
              <w:rPr>
                <w:rFonts w:hint="eastAsia" w:ascii="仿宋_GB2312" w:eastAsia="仿宋_GB2312"/>
                <w:sz w:val="28"/>
                <w:szCs w:val="28"/>
              </w:rPr>
            </w:pPr>
            <w:r>
              <w:rPr>
                <w:rFonts w:hint="eastAsia" w:ascii="仿宋_GB2312" w:eastAsia="仿宋_GB2312"/>
                <w:sz w:val="28"/>
                <w:szCs w:val="28"/>
              </w:rPr>
              <w:t>男</w:t>
            </w:r>
          </w:p>
        </w:tc>
        <w:tc>
          <w:tcPr>
            <w:tcW w:w="1996" w:type="dxa"/>
            <w:noWrap w:val="0"/>
            <w:vAlign w:val="center"/>
          </w:tcPr>
          <w:p w14:paraId="61E6C9E4">
            <w:pPr>
              <w:spacing w:line="360" w:lineRule="exact"/>
              <w:jc w:val="center"/>
              <w:rPr>
                <w:rFonts w:hint="eastAsia" w:ascii="仿宋_GB2312" w:eastAsia="仿宋_GB2312"/>
                <w:sz w:val="28"/>
                <w:szCs w:val="28"/>
              </w:rPr>
            </w:pPr>
            <w:r>
              <w:rPr>
                <w:rFonts w:hint="eastAsia" w:ascii="仿宋_GB2312" w:eastAsia="仿宋_GB2312"/>
                <w:sz w:val="28"/>
                <w:szCs w:val="28"/>
              </w:rPr>
              <w:t>副研究员</w:t>
            </w:r>
          </w:p>
        </w:tc>
        <w:tc>
          <w:tcPr>
            <w:tcW w:w="2636" w:type="dxa"/>
            <w:noWrap w:val="0"/>
            <w:vAlign w:val="center"/>
          </w:tcPr>
          <w:p w14:paraId="58B23AF8">
            <w:pPr>
              <w:spacing w:line="360" w:lineRule="exact"/>
              <w:jc w:val="center"/>
              <w:rPr>
                <w:rFonts w:hint="eastAsia" w:ascii="仿宋_GB2312" w:eastAsia="仿宋_GB2312"/>
                <w:sz w:val="28"/>
                <w:szCs w:val="28"/>
              </w:rPr>
            </w:pPr>
            <w:r>
              <w:rPr>
                <w:rFonts w:hint="eastAsia" w:ascii="仿宋_GB2312" w:eastAsia="仿宋_GB2312"/>
                <w:sz w:val="28"/>
                <w:szCs w:val="28"/>
              </w:rPr>
              <w:t>新疆农垦科学院</w:t>
            </w:r>
          </w:p>
        </w:tc>
        <w:tc>
          <w:tcPr>
            <w:tcW w:w="1596" w:type="dxa"/>
            <w:noWrap w:val="0"/>
            <w:vAlign w:val="center"/>
          </w:tcPr>
          <w:p w14:paraId="6A8B4D34">
            <w:pPr>
              <w:spacing w:line="360" w:lineRule="exact"/>
              <w:jc w:val="center"/>
              <w:rPr>
                <w:rFonts w:hint="eastAsia" w:ascii="仿宋_GB2312" w:eastAsia="仿宋_GB2312"/>
                <w:sz w:val="28"/>
                <w:szCs w:val="28"/>
              </w:rPr>
            </w:pPr>
            <w:r>
              <w:rPr>
                <w:rFonts w:hint="eastAsia" w:ascii="仿宋_GB2312" w:eastAsia="仿宋_GB2312"/>
                <w:sz w:val="28"/>
                <w:szCs w:val="28"/>
              </w:rPr>
              <w:t>田间调查</w:t>
            </w:r>
          </w:p>
        </w:tc>
      </w:tr>
      <w:tr w14:paraId="3ACB1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noWrap w:val="0"/>
            <w:vAlign w:val="center"/>
          </w:tcPr>
          <w:p w14:paraId="210A4208">
            <w:pPr>
              <w:spacing w:line="360" w:lineRule="exact"/>
              <w:jc w:val="center"/>
              <w:rPr>
                <w:rFonts w:hint="eastAsia" w:ascii="仿宋_GB2312" w:eastAsia="仿宋_GB2312"/>
                <w:sz w:val="28"/>
                <w:szCs w:val="28"/>
              </w:rPr>
            </w:pPr>
            <w:r>
              <w:rPr>
                <w:rFonts w:hint="eastAsia" w:ascii="仿宋_GB2312" w:eastAsia="仿宋_GB2312"/>
                <w:sz w:val="28"/>
                <w:szCs w:val="28"/>
              </w:rPr>
              <w:t>刘丽</w:t>
            </w:r>
          </w:p>
        </w:tc>
        <w:tc>
          <w:tcPr>
            <w:tcW w:w="1026" w:type="dxa"/>
            <w:noWrap w:val="0"/>
            <w:vAlign w:val="center"/>
          </w:tcPr>
          <w:p w14:paraId="7E63BFE1">
            <w:pPr>
              <w:spacing w:line="360" w:lineRule="exact"/>
              <w:jc w:val="center"/>
              <w:rPr>
                <w:rFonts w:hint="eastAsia" w:ascii="仿宋_GB2312" w:eastAsia="仿宋_GB2312"/>
                <w:sz w:val="28"/>
                <w:szCs w:val="28"/>
              </w:rPr>
            </w:pPr>
            <w:r>
              <w:rPr>
                <w:rFonts w:hint="eastAsia" w:ascii="仿宋_GB2312" w:eastAsia="仿宋_GB2312"/>
                <w:sz w:val="28"/>
                <w:szCs w:val="28"/>
              </w:rPr>
              <w:t>女</w:t>
            </w:r>
          </w:p>
        </w:tc>
        <w:tc>
          <w:tcPr>
            <w:tcW w:w="1996" w:type="dxa"/>
            <w:noWrap w:val="0"/>
            <w:vAlign w:val="center"/>
          </w:tcPr>
          <w:p w14:paraId="16888A35">
            <w:pPr>
              <w:spacing w:line="360" w:lineRule="exact"/>
              <w:jc w:val="center"/>
              <w:rPr>
                <w:rFonts w:hint="eastAsia" w:ascii="仿宋_GB2312" w:eastAsia="仿宋_GB2312"/>
                <w:sz w:val="28"/>
                <w:szCs w:val="28"/>
              </w:rPr>
            </w:pPr>
            <w:r>
              <w:rPr>
                <w:rFonts w:hint="eastAsia" w:ascii="仿宋_GB2312" w:eastAsia="仿宋_GB2312"/>
                <w:sz w:val="28"/>
                <w:szCs w:val="28"/>
              </w:rPr>
              <w:t>研究员</w:t>
            </w:r>
          </w:p>
        </w:tc>
        <w:tc>
          <w:tcPr>
            <w:tcW w:w="2636" w:type="dxa"/>
            <w:noWrap w:val="0"/>
            <w:vAlign w:val="center"/>
          </w:tcPr>
          <w:p w14:paraId="299E7D7C">
            <w:pPr>
              <w:spacing w:line="360" w:lineRule="exact"/>
              <w:jc w:val="center"/>
              <w:rPr>
                <w:rFonts w:hint="eastAsia" w:ascii="仿宋_GB2312" w:eastAsia="仿宋_GB2312"/>
                <w:sz w:val="28"/>
                <w:szCs w:val="28"/>
              </w:rPr>
            </w:pPr>
            <w:r>
              <w:rPr>
                <w:rFonts w:hint="eastAsia" w:ascii="仿宋_GB2312" w:eastAsia="仿宋_GB2312"/>
                <w:sz w:val="28"/>
                <w:szCs w:val="28"/>
              </w:rPr>
              <w:t>新疆农垦科学院</w:t>
            </w:r>
          </w:p>
        </w:tc>
        <w:tc>
          <w:tcPr>
            <w:tcW w:w="1596" w:type="dxa"/>
            <w:noWrap w:val="0"/>
            <w:vAlign w:val="center"/>
          </w:tcPr>
          <w:p w14:paraId="04B32B6D">
            <w:pPr>
              <w:spacing w:line="360" w:lineRule="exact"/>
              <w:jc w:val="center"/>
              <w:rPr>
                <w:rFonts w:hint="eastAsia" w:ascii="仿宋_GB2312" w:eastAsia="仿宋_GB2312"/>
                <w:sz w:val="28"/>
                <w:szCs w:val="28"/>
              </w:rPr>
            </w:pPr>
            <w:r>
              <w:rPr>
                <w:rFonts w:hint="eastAsia" w:ascii="仿宋_GB2312" w:eastAsia="仿宋_GB2312"/>
                <w:sz w:val="28"/>
                <w:szCs w:val="28"/>
              </w:rPr>
              <w:t>数据分析</w:t>
            </w:r>
          </w:p>
        </w:tc>
      </w:tr>
      <w:tr w14:paraId="36043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noWrap w:val="0"/>
            <w:vAlign w:val="center"/>
          </w:tcPr>
          <w:p w14:paraId="1AAA51C4">
            <w:pPr>
              <w:spacing w:line="360" w:lineRule="exact"/>
              <w:jc w:val="center"/>
              <w:rPr>
                <w:rFonts w:hint="eastAsia" w:ascii="仿宋_GB2312" w:eastAsia="仿宋_GB2312"/>
                <w:sz w:val="28"/>
                <w:szCs w:val="28"/>
              </w:rPr>
            </w:pPr>
            <w:r>
              <w:rPr>
                <w:rFonts w:hint="eastAsia" w:ascii="仿宋_GB2312" w:eastAsia="仿宋_GB2312"/>
                <w:sz w:val="28"/>
                <w:szCs w:val="28"/>
              </w:rPr>
              <w:t>司爱君</w:t>
            </w:r>
          </w:p>
        </w:tc>
        <w:tc>
          <w:tcPr>
            <w:tcW w:w="1026" w:type="dxa"/>
            <w:noWrap w:val="0"/>
            <w:vAlign w:val="center"/>
          </w:tcPr>
          <w:p w14:paraId="071112B4">
            <w:pPr>
              <w:spacing w:line="360" w:lineRule="exact"/>
              <w:jc w:val="center"/>
              <w:rPr>
                <w:rFonts w:hint="eastAsia" w:ascii="仿宋_GB2312" w:eastAsia="仿宋_GB2312"/>
                <w:sz w:val="28"/>
                <w:szCs w:val="28"/>
              </w:rPr>
            </w:pPr>
            <w:r>
              <w:rPr>
                <w:rFonts w:hint="eastAsia" w:ascii="仿宋_GB2312" w:eastAsia="仿宋_GB2312"/>
                <w:sz w:val="28"/>
                <w:szCs w:val="28"/>
              </w:rPr>
              <w:t>女</w:t>
            </w:r>
          </w:p>
        </w:tc>
        <w:tc>
          <w:tcPr>
            <w:tcW w:w="1996" w:type="dxa"/>
            <w:noWrap w:val="0"/>
            <w:vAlign w:val="center"/>
          </w:tcPr>
          <w:p w14:paraId="0FE1142A">
            <w:pPr>
              <w:spacing w:line="360" w:lineRule="exact"/>
              <w:jc w:val="center"/>
              <w:rPr>
                <w:rFonts w:hint="eastAsia" w:ascii="仿宋_GB2312" w:eastAsia="仿宋_GB2312"/>
                <w:sz w:val="28"/>
                <w:szCs w:val="28"/>
              </w:rPr>
            </w:pPr>
            <w:r>
              <w:rPr>
                <w:rFonts w:hint="eastAsia" w:ascii="仿宋_GB2312" w:eastAsia="仿宋_GB2312"/>
                <w:sz w:val="28"/>
                <w:szCs w:val="28"/>
              </w:rPr>
              <w:t>副研究员</w:t>
            </w:r>
          </w:p>
        </w:tc>
        <w:tc>
          <w:tcPr>
            <w:tcW w:w="2636" w:type="dxa"/>
            <w:noWrap w:val="0"/>
            <w:vAlign w:val="center"/>
          </w:tcPr>
          <w:p w14:paraId="5621C6A3">
            <w:pPr>
              <w:spacing w:line="360" w:lineRule="exact"/>
              <w:jc w:val="center"/>
              <w:rPr>
                <w:rFonts w:hint="eastAsia" w:ascii="仿宋_GB2312" w:eastAsia="仿宋_GB2312"/>
                <w:sz w:val="28"/>
                <w:szCs w:val="28"/>
              </w:rPr>
            </w:pPr>
            <w:r>
              <w:rPr>
                <w:rFonts w:hint="eastAsia" w:ascii="仿宋_GB2312" w:eastAsia="仿宋_GB2312"/>
                <w:sz w:val="28"/>
                <w:szCs w:val="28"/>
              </w:rPr>
              <w:t>新疆农垦科学院</w:t>
            </w:r>
          </w:p>
        </w:tc>
        <w:tc>
          <w:tcPr>
            <w:tcW w:w="1596" w:type="dxa"/>
            <w:noWrap w:val="0"/>
            <w:vAlign w:val="center"/>
          </w:tcPr>
          <w:p w14:paraId="288F26DB">
            <w:pPr>
              <w:spacing w:line="360" w:lineRule="exact"/>
              <w:jc w:val="center"/>
              <w:rPr>
                <w:rFonts w:hint="eastAsia" w:ascii="仿宋_GB2312" w:eastAsia="仿宋_GB2312"/>
                <w:sz w:val="28"/>
                <w:szCs w:val="28"/>
              </w:rPr>
            </w:pPr>
            <w:r>
              <w:rPr>
                <w:rFonts w:hint="eastAsia" w:ascii="仿宋_GB2312" w:eastAsia="仿宋_GB2312"/>
                <w:sz w:val="28"/>
                <w:szCs w:val="28"/>
              </w:rPr>
              <w:t>田间调查</w:t>
            </w:r>
          </w:p>
        </w:tc>
      </w:tr>
    </w:tbl>
    <w:p w14:paraId="547C5FBB">
      <w:pPr>
        <w:ind w:firstLine="640" w:firstLineChars="200"/>
        <w:rPr>
          <w:rFonts w:hint="eastAsia" w:ascii="黑体" w:hAnsi="黑体" w:eastAsia="黑体" w:cs="黑体"/>
          <w:sz w:val="32"/>
          <w:szCs w:val="32"/>
        </w:rPr>
      </w:pPr>
    </w:p>
    <w:p w14:paraId="45232AAC">
      <w:pPr>
        <w:ind w:firstLine="640" w:firstLineChars="200"/>
        <w:rPr>
          <w:rFonts w:hint="eastAsia" w:ascii="黑体" w:hAnsi="黑体" w:eastAsia="黑体" w:cs="黑体"/>
          <w:b/>
          <w:bCs/>
          <w:color w:val="FF0000"/>
          <w:sz w:val="32"/>
          <w:szCs w:val="32"/>
        </w:rPr>
      </w:pPr>
      <w:r>
        <w:rPr>
          <w:rFonts w:hint="eastAsia" w:ascii="黑体" w:hAnsi="黑体" w:eastAsia="黑体" w:cs="黑体"/>
          <w:sz w:val="32"/>
          <w:szCs w:val="32"/>
        </w:rPr>
        <w:t>二、制定（修订）标准的必要性和意义</w:t>
      </w:r>
    </w:p>
    <w:p w14:paraId="3C46D1D5">
      <w:pPr>
        <w:pStyle w:val="3"/>
        <w:ind w:firstLine="600"/>
        <w:rPr>
          <w:rFonts w:ascii="仿宋_GB2312" w:eastAsia="仿宋_GB2312"/>
          <w:bCs/>
          <w:sz w:val="32"/>
          <w:szCs w:val="32"/>
        </w:rPr>
      </w:pPr>
      <w:r>
        <w:rPr>
          <w:rFonts w:ascii="仿宋_GB2312" w:eastAsia="仿宋_GB2312"/>
          <w:bCs/>
          <w:sz w:val="32"/>
          <w:szCs w:val="32"/>
        </w:rPr>
        <w:t>新疆作为我国最重要的棉花生产基地，大面积推广与当地光热资源相契合的“早、密、矮、膜”的高产优质栽培技术，具有种植面积大、机械化程度高和产量水平高的生产特征。2021年新疆棉花种植面积为2506.1千hm</w:t>
      </w:r>
      <w:r>
        <w:rPr>
          <w:rFonts w:ascii="仿宋_GB2312" w:eastAsia="仿宋_GB2312"/>
          <w:bCs/>
          <w:sz w:val="32"/>
          <w:szCs w:val="32"/>
          <w:vertAlign w:val="superscript"/>
        </w:rPr>
        <w:t>2</w:t>
      </w:r>
      <w:r>
        <w:rPr>
          <w:rFonts w:ascii="仿宋_GB2312" w:eastAsia="仿宋_GB2312"/>
          <w:bCs/>
          <w:sz w:val="32"/>
          <w:szCs w:val="32"/>
        </w:rPr>
        <w:t>，总产量为512.9万t，分别占全国的82.8%和89.5%，棉花产业为新疆地方经济建设、社会稳定、乡村振兴和农民致富发挥了极其重要的作用。可见，新疆棉花产业的健康持续发展对于保障国家棉花供给安全具有重要作用。近年来，为解决人工采摘劳动力短缺和成本高的问题，新疆大力发展机采棉，降低了棉花采收成本，提高了收获效率，推动了棉花产业全程机械化</w:t>
      </w:r>
      <w:bookmarkStart w:id="0" w:name="_GoBack"/>
      <w:bookmarkEnd w:id="0"/>
      <w:r>
        <w:rPr>
          <w:rFonts w:ascii="仿宋_GB2312" w:eastAsia="仿宋_GB2312"/>
          <w:bCs/>
          <w:sz w:val="32"/>
          <w:szCs w:val="32"/>
        </w:rPr>
        <w:t>的发展。然而，机采原棉质量差、市场竞争力不足的问题逐渐凸显，经济效益大幅降低。因此，品质提升是促进新疆棉花产业持续高质量发展的重要保障。</w:t>
      </w:r>
    </w:p>
    <w:p w14:paraId="1ED33B17">
      <w:pPr>
        <w:pStyle w:val="3"/>
        <w:ind w:firstLine="600"/>
        <w:rPr>
          <w:rFonts w:ascii="仿宋_GB2312" w:eastAsia="仿宋_GB2312"/>
          <w:bCs/>
          <w:sz w:val="32"/>
          <w:szCs w:val="32"/>
        </w:rPr>
      </w:pPr>
      <w:r>
        <w:rPr>
          <w:rFonts w:ascii="仿宋_GB2312" w:eastAsia="仿宋_GB2312"/>
          <w:bCs/>
          <w:sz w:val="32"/>
          <w:szCs w:val="32"/>
        </w:rPr>
        <w:t>由于新疆棉花生长季光热资源相对不足，机采棉必须在吐絮期喷施脱叶催熟剂加速棉铃成熟和叶片脱落。目前，新疆机采棉常规种植模式为宽窄行（66 cm +10 cm）高密度模式，该模式对于大面积实现高产稳产具有重要作用，但是群体密度过大和个体空间分布不利于提升脱叶催熟效果，是影响机采棉品级的主因，主要包括两个方面，一是脱叶催熟作业时吐絮率低，化学催熟的未吐絮青铃占比高；二是脱叶效果差导致机采籽棉的杂质含量较高，杂质含量越高，所需的清理加工环节越多，对纤维的机械损伤也更大，导致纤维长度、长度整齐度、断裂比强度和短纤维率等主要纤维品质指标变差。因此，亟待创建能够提升脱叶效果和降低籽棉杂质含量的栽培技术体系，在高产稳产的基础上实现机采棉质量提升。</w:t>
      </w:r>
    </w:p>
    <w:p w14:paraId="709C4C59">
      <w:pPr>
        <w:pStyle w:val="3"/>
        <w:ind w:firstLine="600"/>
        <w:rPr>
          <w:rFonts w:ascii="仿宋_GB2312" w:eastAsia="仿宋_GB2312"/>
          <w:bCs/>
          <w:sz w:val="32"/>
          <w:szCs w:val="32"/>
        </w:rPr>
      </w:pPr>
      <w:r>
        <w:rPr>
          <w:rFonts w:ascii="仿宋_GB2312" w:eastAsia="仿宋_GB2312"/>
          <w:bCs/>
          <w:sz w:val="32"/>
          <w:szCs w:val="32"/>
        </w:rPr>
        <w:t>由于棉花群体内部的温度、光照、空气流动等田间小气候条件是决定脱叶催熟效果的主要因素，可见，构建田间环境因子优化的适宜脱叶的群体结构是提升机采棉质量的重要途径。机采棉等行距密植</w:t>
      </w:r>
      <w:r>
        <w:rPr>
          <w:rFonts w:hint="eastAsia" w:ascii="仿宋_GB2312" w:eastAsia="仿宋_GB2312"/>
          <w:bCs/>
          <w:sz w:val="32"/>
          <w:szCs w:val="32"/>
        </w:rPr>
        <w:t>优质</w:t>
      </w:r>
      <w:r>
        <w:rPr>
          <w:rFonts w:ascii="仿宋_GB2312" w:eastAsia="仿宋_GB2312"/>
          <w:bCs/>
          <w:sz w:val="32"/>
          <w:szCs w:val="32"/>
        </w:rPr>
        <w:t>种植技术通过调整株行距配置（增大行距，缩小株距）和合理调减密度的方式，改善了群体温光条件，在单位面积铃数减少的情况下通过增加铃重实现了高产稳产和优质生产；促早熟，提升了脱叶催熟时的吐絮率；脱叶效果好，减少了机采籽棉叶片杂质的来源，降低机采籽棉含杂率。因此，机采棉等行距密植</w:t>
      </w:r>
      <w:r>
        <w:rPr>
          <w:rFonts w:hint="eastAsia" w:ascii="仿宋_GB2312" w:eastAsia="仿宋_GB2312"/>
          <w:bCs/>
          <w:sz w:val="32"/>
          <w:szCs w:val="32"/>
        </w:rPr>
        <w:t>优质</w:t>
      </w:r>
      <w:r>
        <w:rPr>
          <w:rFonts w:ascii="仿宋_GB2312" w:eastAsia="仿宋_GB2312"/>
          <w:bCs/>
          <w:sz w:val="32"/>
          <w:szCs w:val="32"/>
        </w:rPr>
        <w:t>种植技术能促进机采棉质量提升。</w:t>
      </w:r>
    </w:p>
    <w:p w14:paraId="5019F9F9">
      <w:pPr>
        <w:adjustRightInd w:val="0"/>
        <w:ind w:firstLine="640" w:firstLineChars="200"/>
        <w:rPr>
          <w:rFonts w:hint="eastAsia" w:ascii="仿宋_GB2312" w:eastAsia="仿宋_GB2312"/>
          <w:bCs/>
          <w:sz w:val="32"/>
          <w:szCs w:val="32"/>
        </w:rPr>
      </w:pPr>
      <w:r>
        <w:rPr>
          <w:rFonts w:ascii="仿宋_GB2312" w:eastAsia="仿宋_GB2312"/>
          <w:bCs/>
          <w:sz w:val="32"/>
          <w:szCs w:val="32"/>
        </w:rPr>
        <w:t>本标准的制定，能够进一步规范机采棉等行距密植</w:t>
      </w:r>
      <w:r>
        <w:rPr>
          <w:rFonts w:hint="eastAsia" w:ascii="仿宋_GB2312" w:eastAsia="仿宋_GB2312"/>
          <w:bCs/>
          <w:sz w:val="32"/>
          <w:szCs w:val="32"/>
        </w:rPr>
        <w:t>优质</w:t>
      </w:r>
      <w:r>
        <w:rPr>
          <w:rFonts w:ascii="仿宋_GB2312" w:eastAsia="仿宋_GB2312"/>
          <w:bCs/>
          <w:sz w:val="32"/>
          <w:szCs w:val="32"/>
        </w:rPr>
        <w:t>种植技术的推广应用，提升该技术的应用效果，为</w:t>
      </w:r>
      <w:r>
        <w:rPr>
          <w:rFonts w:hint="eastAsia" w:ascii="仿宋_GB2312" w:eastAsia="仿宋_GB2312"/>
          <w:bCs/>
          <w:sz w:val="32"/>
          <w:szCs w:val="32"/>
        </w:rPr>
        <w:t>新疆</w:t>
      </w:r>
      <w:r>
        <w:rPr>
          <w:rFonts w:ascii="仿宋_GB2312" w:eastAsia="仿宋_GB2312"/>
          <w:bCs/>
          <w:sz w:val="32"/>
          <w:szCs w:val="32"/>
        </w:rPr>
        <w:t>机采棉质量提升、棉花产业高质量发展提供技术支撑。</w:t>
      </w:r>
    </w:p>
    <w:p w14:paraId="76BBB9A7">
      <w:pPr>
        <w:ind w:firstLine="640" w:firstLineChars="200"/>
        <w:rPr>
          <w:rFonts w:hint="eastAsia" w:ascii="黑体" w:hAnsi="黑体" w:eastAsia="黑体" w:cs="黑体"/>
          <w:b/>
          <w:bCs/>
          <w:sz w:val="32"/>
          <w:szCs w:val="32"/>
        </w:rPr>
      </w:pPr>
      <w:r>
        <w:rPr>
          <w:rFonts w:hint="eastAsia" w:ascii="黑体" w:hAnsi="黑体" w:eastAsia="黑体" w:cs="黑体"/>
          <w:sz w:val="32"/>
          <w:szCs w:val="32"/>
        </w:rPr>
        <w:t>三、主要起草过程</w:t>
      </w:r>
    </w:p>
    <w:p w14:paraId="6A340CA8">
      <w:pPr>
        <w:numPr>
          <w:ilvl w:val="0"/>
          <w:numId w:val="1"/>
        </w:numPr>
        <w:ind w:firstLine="640" w:firstLineChars="200"/>
        <w:rPr>
          <w:rFonts w:hint="eastAsia" w:ascii="仿宋_GB2312" w:eastAsia="仿宋_GB2312"/>
          <w:sz w:val="32"/>
          <w:szCs w:val="32"/>
        </w:rPr>
      </w:pPr>
      <w:r>
        <w:rPr>
          <w:rFonts w:hint="eastAsia" w:ascii="仿宋_GB2312" w:eastAsia="仿宋_GB2312"/>
          <w:sz w:val="32"/>
          <w:szCs w:val="32"/>
        </w:rPr>
        <w:t>前期准备阶段</w:t>
      </w:r>
    </w:p>
    <w:p w14:paraId="390B29D9">
      <w:pPr>
        <w:pStyle w:val="2"/>
        <w:ind w:firstLine="640"/>
        <w:rPr>
          <w:rFonts w:hint="eastAsia" w:ascii="仿宋_GB2312" w:eastAsia="仿宋_GB2312"/>
          <w:sz w:val="32"/>
          <w:szCs w:val="32"/>
        </w:rPr>
      </w:pPr>
      <w:r>
        <w:rPr>
          <w:rFonts w:ascii="仿宋_GB2312" w:eastAsia="仿宋_GB2312"/>
          <w:sz w:val="32"/>
          <w:szCs w:val="32"/>
        </w:rPr>
        <w:t>新疆农垦科学院棉花研究所于“十二五”期间就开展了机采棉种植技术方面的研究，先后承担了国家科技支撑项目“机采棉优质高效栽培关键技术研究”、兵团重大科技项目“机采棉提质增效关键技术研究与集成示范”、兵团重点领域创新团队计划“棉花高产优质栽培理论与技术创新团队”和第六师五家渠市重大科技计划“六师机采棉提质增效关键技术集成与示范”等项目，开展了大量的田间小区控制试验和大田示范验证试验，对机采棉机采棉等行距密植种植技术进行了系统的研究和探讨，积累了丰富的试验资料，获得了可靠的试验结果。</w:t>
      </w:r>
      <w:r>
        <w:rPr>
          <w:rFonts w:hint="eastAsia" w:ascii="仿宋_GB2312" w:eastAsia="仿宋_GB2312"/>
          <w:sz w:val="32"/>
          <w:szCs w:val="32"/>
        </w:rPr>
        <w:t>为编制《机采棉等行距密植优质种植技术规程》标准提供了数据支撑。</w:t>
      </w:r>
    </w:p>
    <w:p w14:paraId="751463C7">
      <w:pPr>
        <w:ind w:firstLine="640" w:firstLineChars="200"/>
        <w:rPr>
          <w:rFonts w:hint="eastAsia" w:ascii="仿宋_GB2312" w:eastAsia="仿宋_GB2312"/>
          <w:sz w:val="32"/>
          <w:szCs w:val="32"/>
        </w:rPr>
      </w:pPr>
      <w:r>
        <w:rPr>
          <w:rFonts w:hint="eastAsia" w:ascii="仿宋_GB2312" w:eastAsia="仿宋_GB2312"/>
          <w:sz w:val="32"/>
          <w:szCs w:val="32"/>
        </w:rPr>
        <w:t>（二）标准立项阶段</w:t>
      </w:r>
    </w:p>
    <w:p w14:paraId="64BA3EEC">
      <w:pPr>
        <w:pStyle w:val="2"/>
        <w:ind w:firstLine="640"/>
        <w:rPr>
          <w:rFonts w:hint="eastAsia" w:ascii="仿宋_GB2312" w:eastAsia="仿宋_GB2312"/>
          <w:sz w:val="32"/>
          <w:szCs w:val="32"/>
        </w:rPr>
      </w:pPr>
      <w:r>
        <w:rPr>
          <w:rFonts w:hint="eastAsia" w:ascii="仿宋_GB2312" w:eastAsia="仿宋_GB2312"/>
          <w:bCs/>
          <w:sz w:val="32"/>
          <w:szCs w:val="32"/>
        </w:rPr>
        <w:t>2023年3月，由新疆农</w:t>
      </w:r>
      <w:r>
        <w:rPr>
          <w:rFonts w:hint="eastAsia" w:ascii="仿宋_GB2312" w:eastAsia="仿宋_GB2312"/>
          <w:sz w:val="32"/>
          <w:szCs w:val="32"/>
        </w:rPr>
        <w:t>垦科学院申请地方标准的立项。2023年7月，</w:t>
      </w:r>
      <w:r>
        <w:rPr>
          <w:rFonts w:ascii="仿宋_GB2312" w:eastAsia="仿宋_GB2312"/>
          <w:sz w:val="32"/>
          <w:szCs w:val="32"/>
        </w:rPr>
        <w:t>根据“新疆维吾尔自治区市场监督管理局关于印发2023年第二批自治区地方标准制（修）订计划项目的通告”</w:t>
      </w:r>
      <w:r>
        <w:rPr>
          <w:rFonts w:hint="eastAsia" w:ascii="仿宋_GB2312" w:eastAsia="仿宋_GB2312"/>
          <w:sz w:val="32"/>
          <w:szCs w:val="32"/>
        </w:rPr>
        <w:t>，批准《机采棉等行距密植优质种植技术规程》地方标准的制定（修订），计划号为XJ</w:t>
      </w:r>
      <w:r>
        <w:rPr>
          <w:rFonts w:ascii="仿宋_GB2312" w:eastAsia="仿宋_GB2312"/>
          <w:sz w:val="32"/>
          <w:szCs w:val="32"/>
        </w:rPr>
        <w:t xml:space="preserve"> 23-152</w:t>
      </w:r>
      <w:r>
        <w:rPr>
          <w:rFonts w:hint="eastAsia" w:ascii="仿宋_GB2312" w:eastAsia="仿宋_GB2312"/>
          <w:sz w:val="32"/>
          <w:szCs w:val="32"/>
        </w:rPr>
        <w:t>。</w:t>
      </w:r>
      <w:r>
        <w:rPr>
          <w:rFonts w:ascii="仿宋_GB2312" w:eastAsia="仿宋_GB2312"/>
          <w:sz w:val="32"/>
          <w:szCs w:val="32"/>
        </w:rPr>
        <w:t>20</w:t>
      </w:r>
      <w:r>
        <w:rPr>
          <w:rFonts w:hint="eastAsia" w:ascii="仿宋_GB2312" w:eastAsia="仿宋_GB2312"/>
          <w:sz w:val="32"/>
          <w:szCs w:val="32"/>
        </w:rPr>
        <w:t>23</w:t>
      </w:r>
      <w:r>
        <w:rPr>
          <w:rFonts w:ascii="仿宋_GB2312" w:eastAsia="仿宋_GB2312"/>
          <w:sz w:val="32"/>
          <w:szCs w:val="32"/>
        </w:rPr>
        <w:t>年</w:t>
      </w:r>
      <w:r>
        <w:rPr>
          <w:rFonts w:hint="eastAsia" w:ascii="仿宋_GB2312" w:eastAsia="仿宋_GB2312"/>
          <w:sz w:val="32"/>
          <w:szCs w:val="32"/>
        </w:rPr>
        <w:t>8</w:t>
      </w:r>
      <w:r>
        <w:rPr>
          <w:rFonts w:ascii="仿宋_GB2312" w:eastAsia="仿宋_GB2312"/>
          <w:sz w:val="32"/>
          <w:szCs w:val="32"/>
        </w:rPr>
        <w:t>月，组成了</w:t>
      </w:r>
      <w:r>
        <w:rPr>
          <w:rFonts w:hint="eastAsia" w:ascii="仿宋_GB2312" w:eastAsia="仿宋_GB2312"/>
          <w:sz w:val="32"/>
          <w:szCs w:val="32"/>
        </w:rPr>
        <w:t>标准</w:t>
      </w:r>
      <w:r>
        <w:rPr>
          <w:rFonts w:ascii="仿宋_GB2312" w:eastAsia="仿宋_GB2312"/>
          <w:sz w:val="32"/>
          <w:szCs w:val="32"/>
        </w:rPr>
        <w:t>编制小组，拟定</w:t>
      </w:r>
      <w:r>
        <w:rPr>
          <w:rFonts w:hint="eastAsia" w:ascii="仿宋_GB2312" w:eastAsia="仿宋_GB2312"/>
          <w:sz w:val="32"/>
          <w:szCs w:val="32"/>
        </w:rPr>
        <w:t>了</w:t>
      </w:r>
      <w:r>
        <w:rPr>
          <w:rFonts w:ascii="仿宋_GB2312" w:eastAsia="仿宋_GB2312"/>
          <w:sz w:val="32"/>
          <w:szCs w:val="32"/>
        </w:rPr>
        <w:t>标准编制工作进度</w:t>
      </w:r>
      <w:r>
        <w:rPr>
          <w:rFonts w:hint="eastAsia" w:ascii="仿宋_GB2312" w:eastAsia="仿宋_GB2312"/>
          <w:sz w:val="32"/>
          <w:szCs w:val="32"/>
        </w:rPr>
        <w:t>计划</w:t>
      </w:r>
      <w:r>
        <w:rPr>
          <w:rFonts w:ascii="仿宋_GB2312" w:eastAsia="仿宋_GB2312"/>
          <w:sz w:val="32"/>
          <w:szCs w:val="32"/>
        </w:rPr>
        <w:t>。</w:t>
      </w:r>
    </w:p>
    <w:p w14:paraId="32758981">
      <w:pPr>
        <w:ind w:firstLine="640" w:firstLineChars="200"/>
        <w:rPr>
          <w:rFonts w:hint="eastAsia" w:ascii="仿宋_GB2312" w:eastAsia="仿宋_GB2312"/>
          <w:sz w:val="32"/>
          <w:szCs w:val="32"/>
        </w:rPr>
      </w:pPr>
      <w:r>
        <w:rPr>
          <w:rFonts w:hint="eastAsia" w:ascii="仿宋_GB2312" w:eastAsia="仿宋_GB2312"/>
          <w:sz w:val="32"/>
          <w:szCs w:val="32"/>
        </w:rPr>
        <w:t>（三）初稿起草阶段</w:t>
      </w:r>
    </w:p>
    <w:p w14:paraId="6ECD9F9E">
      <w:pPr>
        <w:autoSpaceDE w:val="0"/>
        <w:autoSpaceDN w:val="0"/>
        <w:snapToGrid w:val="0"/>
        <w:spacing w:line="594" w:lineRule="exact"/>
        <w:ind w:firstLine="640" w:firstLineChars="200"/>
        <w:rPr>
          <w:rFonts w:hint="eastAsia" w:ascii="仿宋_GB2312" w:eastAsia="仿宋_GB2312"/>
          <w:bCs/>
          <w:sz w:val="32"/>
          <w:szCs w:val="32"/>
        </w:rPr>
      </w:pPr>
      <w:r>
        <w:rPr>
          <w:rFonts w:hint="eastAsia" w:ascii="仿宋_GB2312" w:eastAsia="仿宋_GB2312"/>
          <w:bCs/>
          <w:sz w:val="32"/>
          <w:szCs w:val="32"/>
        </w:rPr>
        <w:t>标准</w:t>
      </w:r>
      <w:r>
        <w:rPr>
          <w:rFonts w:ascii="仿宋_GB2312" w:eastAsia="仿宋_GB2312"/>
          <w:bCs/>
          <w:sz w:val="32"/>
          <w:szCs w:val="32"/>
        </w:rPr>
        <w:t>编制</w:t>
      </w:r>
      <w:r>
        <w:rPr>
          <w:rFonts w:hint="eastAsia" w:ascii="仿宋_GB2312" w:eastAsia="仿宋_GB2312"/>
          <w:bCs/>
          <w:sz w:val="32"/>
          <w:szCs w:val="32"/>
        </w:rPr>
        <w:t>小组查阅大量文献资料，梳理了机采棉种植模式、种植密度方面的已有研究成果。统计分析</w:t>
      </w:r>
      <w:r>
        <w:rPr>
          <w:rFonts w:ascii="仿宋_GB2312" w:eastAsia="仿宋_GB2312"/>
          <w:bCs/>
          <w:sz w:val="32"/>
          <w:szCs w:val="32"/>
        </w:rPr>
        <w:t>田间小区控制试验和大田示范验证试验</w:t>
      </w:r>
      <w:r>
        <w:rPr>
          <w:rFonts w:hint="eastAsia" w:ascii="仿宋_GB2312" w:eastAsia="仿宋_GB2312"/>
          <w:bCs/>
          <w:sz w:val="32"/>
          <w:szCs w:val="32"/>
        </w:rPr>
        <w:t>数据资料，</w:t>
      </w:r>
      <w:r>
        <w:rPr>
          <w:rFonts w:ascii="仿宋_GB2312" w:eastAsia="仿宋_GB2312"/>
          <w:bCs/>
          <w:sz w:val="32"/>
          <w:szCs w:val="32"/>
        </w:rPr>
        <w:t>在总结</w:t>
      </w:r>
      <w:r>
        <w:rPr>
          <w:rFonts w:hint="eastAsia" w:ascii="仿宋_GB2312" w:eastAsia="仿宋_GB2312"/>
          <w:bCs/>
          <w:sz w:val="32"/>
          <w:szCs w:val="32"/>
        </w:rPr>
        <w:t>机采棉等行距密植配套关键栽培技术</w:t>
      </w:r>
      <w:r>
        <w:rPr>
          <w:rFonts w:ascii="仿宋_GB2312" w:eastAsia="仿宋_GB2312"/>
          <w:bCs/>
          <w:sz w:val="32"/>
          <w:szCs w:val="32"/>
        </w:rPr>
        <w:t>试验和示范</w:t>
      </w:r>
      <w:r>
        <w:rPr>
          <w:rFonts w:hint="eastAsia" w:ascii="仿宋_GB2312" w:eastAsia="仿宋_GB2312"/>
          <w:bCs/>
          <w:sz w:val="32"/>
          <w:szCs w:val="32"/>
        </w:rPr>
        <w:t>的</w:t>
      </w:r>
      <w:r>
        <w:rPr>
          <w:rFonts w:ascii="仿宋_GB2312" w:eastAsia="仿宋_GB2312"/>
          <w:bCs/>
          <w:sz w:val="32"/>
          <w:szCs w:val="32"/>
        </w:rPr>
        <w:t>基础上，进行广泛的基层应用实地调研，调查了解</w:t>
      </w:r>
      <w:r>
        <w:rPr>
          <w:rFonts w:hint="eastAsia" w:ascii="仿宋_GB2312" w:eastAsia="仿宋_GB2312"/>
          <w:bCs/>
          <w:sz w:val="32"/>
          <w:szCs w:val="32"/>
        </w:rPr>
        <w:t>机采棉等行距密植</w:t>
      </w:r>
      <w:r>
        <w:rPr>
          <w:rFonts w:ascii="仿宋_GB2312" w:eastAsia="仿宋_GB2312"/>
          <w:bCs/>
          <w:sz w:val="32"/>
          <w:szCs w:val="32"/>
        </w:rPr>
        <w:t>配套技术措施和注意事项，同时，</w:t>
      </w:r>
      <w:r>
        <w:rPr>
          <w:rFonts w:hint="eastAsia" w:ascii="仿宋_GB2312" w:eastAsia="仿宋_GB2312"/>
          <w:bCs/>
          <w:sz w:val="32"/>
          <w:szCs w:val="32"/>
        </w:rPr>
        <w:t>邀请栽培、育种、植物营养等不同领域专家进行研讨，</w:t>
      </w:r>
      <w:r>
        <w:rPr>
          <w:rFonts w:ascii="仿宋_GB2312" w:eastAsia="仿宋_GB2312"/>
          <w:bCs/>
          <w:sz w:val="32"/>
          <w:szCs w:val="32"/>
        </w:rPr>
        <w:t>研究制定</w:t>
      </w:r>
      <w:r>
        <w:rPr>
          <w:rFonts w:hint="eastAsia" w:ascii="仿宋_GB2312" w:eastAsia="仿宋_GB2312"/>
          <w:bCs/>
          <w:sz w:val="32"/>
          <w:szCs w:val="32"/>
        </w:rPr>
        <w:t>机采棉等行距密植优质种植技术规程</w:t>
      </w:r>
      <w:r>
        <w:rPr>
          <w:rFonts w:ascii="仿宋_GB2312" w:eastAsia="仿宋_GB2312"/>
          <w:bCs/>
          <w:sz w:val="32"/>
          <w:szCs w:val="32"/>
        </w:rPr>
        <w:t>。在制定过程中参考了《</w:t>
      </w:r>
      <w:r>
        <w:rPr>
          <w:rFonts w:hint="eastAsia" w:ascii="仿宋_GB2312" w:eastAsia="仿宋_GB2312"/>
          <w:bCs/>
          <w:sz w:val="32"/>
          <w:szCs w:val="32"/>
        </w:rPr>
        <w:t>机械细绒棉种植作业技术规程》、《细绒棉膜下滴灌种植技术规程》等标准，形成了《机采棉等行距密植优质种植技术规程》标准</w:t>
      </w:r>
      <w:r>
        <w:rPr>
          <w:rFonts w:ascii="仿宋_GB2312" w:eastAsia="仿宋_GB2312"/>
          <w:bCs/>
          <w:sz w:val="32"/>
          <w:szCs w:val="32"/>
        </w:rPr>
        <w:t>初稿。</w:t>
      </w:r>
    </w:p>
    <w:p w14:paraId="4FA3D1C4">
      <w:pPr>
        <w:ind w:firstLine="640" w:firstLineChars="200"/>
        <w:rPr>
          <w:rFonts w:hint="eastAsia" w:ascii="仿宋_GB2312" w:eastAsia="仿宋_GB2312"/>
          <w:sz w:val="32"/>
          <w:szCs w:val="32"/>
        </w:rPr>
      </w:pPr>
      <w:r>
        <w:rPr>
          <w:rFonts w:hint="eastAsia" w:ascii="仿宋_GB2312" w:eastAsia="仿宋_GB2312"/>
          <w:sz w:val="32"/>
          <w:szCs w:val="32"/>
        </w:rPr>
        <w:t>（四）试验研究阶段</w:t>
      </w:r>
    </w:p>
    <w:p w14:paraId="5C962C75">
      <w:pPr>
        <w:pStyle w:val="2"/>
        <w:ind w:firstLine="640"/>
        <w:rPr>
          <w:rFonts w:hint="eastAsia" w:eastAsia="仿宋_GB2312"/>
          <w:sz w:val="32"/>
          <w:szCs w:val="32"/>
        </w:rPr>
      </w:pPr>
      <w:r>
        <w:rPr>
          <w:rFonts w:hint="eastAsia" w:eastAsia="仿宋_GB2312"/>
          <w:sz w:val="32"/>
          <w:szCs w:val="32"/>
        </w:rPr>
        <w:t>为进一步验证</w:t>
      </w:r>
      <w:r>
        <w:rPr>
          <w:rFonts w:eastAsia="仿宋_GB2312"/>
          <w:sz w:val="32"/>
          <w:szCs w:val="32"/>
        </w:rPr>
        <w:t>机采棉等行距密植种植技术规程的科学性、实用性</w:t>
      </w:r>
      <w:r>
        <w:rPr>
          <w:rFonts w:hint="eastAsia" w:eastAsia="仿宋_GB2312"/>
          <w:sz w:val="32"/>
          <w:szCs w:val="32"/>
        </w:rPr>
        <w:t>，</w:t>
      </w:r>
      <w:r>
        <w:rPr>
          <w:rFonts w:eastAsia="仿宋_GB2312"/>
          <w:sz w:val="32"/>
          <w:szCs w:val="32"/>
        </w:rPr>
        <w:t>使此标准的适用性更强，切实规范</w:t>
      </w:r>
      <w:r>
        <w:rPr>
          <w:rFonts w:hint="eastAsia" w:eastAsia="仿宋_GB2312"/>
          <w:sz w:val="32"/>
          <w:szCs w:val="32"/>
        </w:rPr>
        <w:t>，</w:t>
      </w:r>
      <w:r>
        <w:rPr>
          <w:rFonts w:hint="eastAsia" w:ascii="仿宋_GB2312" w:eastAsia="仿宋_GB2312"/>
          <w:sz w:val="32"/>
          <w:szCs w:val="32"/>
        </w:rPr>
        <w:t>标准</w:t>
      </w:r>
      <w:r>
        <w:rPr>
          <w:rFonts w:eastAsia="仿宋_GB2312"/>
          <w:sz w:val="32"/>
          <w:szCs w:val="32"/>
        </w:rPr>
        <w:t>编制</w:t>
      </w:r>
      <w:r>
        <w:rPr>
          <w:rFonts w:hint="eastAsia" w:ascii="仿宋_GB2312" w:eastAsia="仿宋_GB2312"/>
          <w:sz w:val="32"/>
          <w:szCs w:val="32"/>
        </w:rPr>
        <w:t>小组2024年在南北疆开展了机采棉等行距密植试验及示范，通过标准化管理，试验及示范结果进一步验证了</w:t>
      </w:r>
      <w:r>
        <w:rPr>
          <w:rFonts w:hint="eastAsia" w:ascii="仿宋_GB2312" w:eastAsia="仿宋_GB2312"/>
          <w:bCs/>
          <w:sz w:val="32"/>
          <w:szCs w:val="32"/>
        </w:rPr>
        <w:t>《</w:t>
      </w:r>
      <w:r>
        <w:rPr>
          <w:rFonts w:hint="eastAsia" w:eastAsia="仿宋_GB2312"/>
          <w:sz w:val="32"/>
          <w:szCs w:val="32"/>
        </w:rPr>
        <w:t>机采棉等行距密植优质种植技术规程</w:t>
      </w:r>
      <w:r>
        <w:rPr>
          <w:rFonts w:hint="eastAsia" w:ascii="仿宋_GB2312" w:eastAsia="仿宋_GB2312"/>
          <w:bCs/>
          <w:sz w:val="32"/>
          <w:szCs w:val="32"/>
        </w:rPr>
        <w:t>》</w:t>
      </w:r>
      <w:r>
        <w:rPr>
          <w:rFonts w:hint="eastAsia" w:eastAsia="仿宋_GB2312"/>
          <w:sz w:val="32"/>
          <w:szCs w:val="32"/>
        </w:rPr>
        <w:t>的科学性和可行性。</w:t>
      </w:r>
    </w:p>
    <w:p w14:paraId="0E7BC1BF">
      <w:pPr>
        <w:ind w:firstLine="640" w:firstLineChars="200"/>
        <w:rPr>
          <w:rFonts w:hint="eastAsia" w:ascii="仿宋_GB2312" w:eastAsia="仿宋_GB2312"/>
          <w:sz w:val="32"/>
          <w:szCs w:val="32"/>
        </w:rPr>
      </w:pPr>
      <w:r>
        <w:rPr>
          <w:rFonts w:hint="eastAsia" w:ascii="仿宋_GB2312" w:eastAsia="仿宋_GB2312"/>
          <w:sz w:val="32"/>
          <w:szCs w:val="32"/>
        </w:rPr>
        <w:t>（五）征求意见阶段</w:t>
      </w:r>
    </w:p>
    <w:p w14:paraId="054C8CAD">
      <w:pPr>
        <w:spacing w:line="560" w:lineRule="exact"/>
        <w:ind w:firstLine="640" w:firstLineChars="200"/>
        <w:jc w:val="left"/>
        <w:rPr>
          <w:rFonts w:hint="eastAsia" w:ascii="仿宋_GB2312" w:eastAsia="仿宋_GB2312"/>
          <w:sz w:val="32"/>
          <w:szCs w:val="32"/>
        </w:rPr>
      </w:pPr>
      <w:r>
        <w:rPr>
          <w:rFonts w:hint="eastAsia" w:ascii="仿宋_GB2312" w:eastAsia="仿宋_GB2312"/>
          <w:sz w:val="32"/>
          <w:szCs w:val="32"/>
        </w:rPr>
        <w:t>2024年9月至10月，征求了新疆生产建设兵团农业农村局、兵团农艺技术推广总站、石河子大学、新疆农业大学</w:t>
      </w:r>
      <w:r>
        <w:rPr>
          <w:rFonts w:ascii="仿宋_GB2312" w:eastAsia="仿宋_GB2312"/>
          <w:sz w:val="32"/>
          <w:szCs w:val="32"/>
        </w:rPr>
        <w:t>等</w:t>
      </w:r>
      <w:r>
        <w:rPr>
          <w:rFonts w:hint="eastAsia" w:ascii="仿宋_GB2312" w:eastAsia="仿宋_GB2312"/>
          <w:sz w:val="32"/>
          <w:szCs w:val="32"/>
        </w:rPr>
        <w:t>14个</w:t>
      </w:r>
      <w:r>
        <w:rPr>
          <w:rFonts w:ascii="仿宋_GB2312" w:eastAsia="仿宋_GB2312"/>
          <w:sz w:val="32"/>
          <w:szCs w:val="32"/>
        </w:rPr>
        <w:t>单位专业技术人员意见建议</w:t>
      </w:r>
      <w:r>
        <w:rPr>
          <w:rFonts w:hint="eastAsia" w:ascii="仿宋_GB2312" w:eastAsia="仿宋_GB2312"/>
          <w:sz w:val="32"/>
          <w:szCs w:val="32"/>
        </w:rPr>
        <w:t>，截至10月中旬，共收到相关意见和建议62条。起草组对收集到的意见进行了逐条分析、认真修改和</w:t>
      </w:r>
      <w:r>
        <w:rPr>
          <w:rFonts w:ascii="仿宋_GB2312" w:eastAsia="仿宋_GB2312"/>
          <w:sz w:val="32"/>
          <w:szCs w:val="32"/>
        </w:rPr>
        <w:t>补充完善</w:t>
      </w:r>
      <w:r>
        <w:rPr>
          <w:rFonts w:hint="eastAsia" w:ascii="仿宋_GB2312" w:eastAsia="仿宋_GB2312"/>
          <w:sz w:val="32"/>
          <w:szCs w:val="32"/>
        </w:rPr>
        <w:t>，采纳46条，未予采纳16条，于2024年10月形成了标准送审稿（见征求意见汇总表）</w:t>
      </w:r>
      <w:r>
        <w:rPr>
          <w:rFonts w:ascii="仿宋_GB2312" w:eastAsia="仿宋_GB2312"/>
          <w:sz w:val="32"/>
          <w:szCs w:val="32"/>
        </w:rPr>
        <w:t>。</w:t>
      </w:r>
    </w:p>
    <w:p w14:paraId="7A53E0AB">
      <w:pPr>
        <w:ind w:firstLine="640" w:firstLineChars="200"/>
        <w:rPr>
          <w:rFonts w:hint="eastAsia" w:ascii="黑体" w:hAnsi="黑体" w:eastAsia="黑体" w:cs="黑体"/>
          <w:b/>
          <w:bCs/>
          <w:color w:val="FF0000"/>
          <w:sz w:val="32"/>
          <w:szCs w:val="32"/>
        </w:rPr>
      </w:pPr>
      <w:r>
        <w:rPr>
          <w:rFonts w:hint="eastAsia" w:ascii="黑体" w:hAnsi="黑体" w:eastAsia="黑体" w:cs="黑体"/>
          <w:sz w:val="32"/>
          <w:szCs w:val="32"/>
        </w:rPr>
        <w:t>四、制定（修订）标准的原则和依据，与现行法律、法规、标准的关系</w:t>
      </w:r>
    </w:p>
    <w:p w14:paraId="05088E61">
      <w:pPr>
        <w:numPr>
          <w:ilvl w:val="0"/>
          <w:numId w:val="2"/>
        </w:numPr>
        <w:ind w:firstLine="640" w:firstLineChars="200"/>
        <w:rPr>
          <w:rFonts w:hint="eastAsia" w:ascii="仿宋_GB2312" w:eastAsia="仿宋_GB2312"/>
          <w:sz w:val="32"/>
          <w:szCs w:val="32"/>
        </w:rPr>
      </w:pPr>
      <w:r>
        <w:rPr>
          <w:rFonts w:hint="eastAsia" w:ascii="仿宋_GB2312" w:eastAsia="仿宋_GB2312"/>
          <w:sz w:val="32"/>
          <w:szCs w:val="32"/>
        </w:rPr>
        <w:t>制定标准的原则</w:t>
      </w:r>
    </w:p>
    <w:p w14:paraId="21164429">
      <w:pPr>
        <w:snapToGrid w:val="0"/>
        <w:spacing w:line="594" w:lineRule="exact"/>
        <w:ind w:firstLine="640" w:firstLineChars="200"/>
        <w:rPr>
          <w:rFonts w:hint="eastAsia" w:ascii="仿宋_GB2312" w:eastAsia="仿宋_GB2312"/>
          <w:sz w:val="32"/>
          <w:szCs w:val="32"/>
        </w:rPr>
      </w:pPr>
      <w:r>
        <w:rPr>
          <w:rFonts w:ascii="仿宋_GB2312" w:eastAsia="仿宋_GB2312"/>
          <w:sz w:val="32"/>
          <w:szCs w:val="32"/>
        </w:rPr>
        <w:t>本标准按照GB/T 1.1—2020《标准化工作导则第1部分：标准化文件的结构和起草规则》的规定</w:t>
      </w:r>
      <w:r>
        <w:rPr>
          <w:rFonts w:hint="eastAsia" w:ascii="仿宋_GB2312" w:eastAsia="仿宋_GB2312"/>
          <w:sz w:val="32"/>
          <w:szCs w:val="32"/>
        </w:rPr>
        <w:t>进行科学编制</w:t>
      </w:r>
      <w:r>
        <w:rPr>
          <w:rFonts w:ascii="仿宋_GB2312" w:eastAsia="仿宋_GB2312"/>
          <w:sz w:val="32"/>
          <w:szCs w:val="32"/>
        </w:rPr>
        <w:t>。</w:t>
      </w:r>
      <w:r>
        <w:rPr>
          <w:rFonts w:hint="eastAsia" w:ascii="仿宋_GB2312" w:eastAsia="仿宋_GB2312"/>
          <w:sz w:val="32"/>
          <w:szCs w:val="32"/>
        </w:rPr>
        <w:t>在研究成果和实践检验的基础上正确、合理地总结和归纳，遵循了标准制定过程中的科学性、规范性、合理性和广适性的原则</w:t>
      </w:r>
      <w:r>
        <w:rPr>
          <w:rFonts w:ascii="仿宋_GB2312" w:eastAsia="仿宋_GB2312"/>
          <w:sz w:val="32"/>
          <w:szCs w:val="32"/>
        </w:rPr>
        <w:t>，做到技术可行，指标准确，标准内容通俗易懂，便于操作。</w:t>
      </w:r>
    </w:p>
    <w:p w14:paraId="5513F3AA">
      <w:pPr>
        <w:numPr>
          <w:ilvl w:val="0"/>
          <w:numId w:val="2"/>
        </w:numPr>
        <w:ind w:firstLine="640" w:firstLineChars="200"/>
        <w:rPr>
          <w:rFonts w:hint="eastAsia" w:ascii="仿宋_GB2312" w:eastAsia="仿宋_GB2312"/>
          <w:sz w:val="32"/>
          <w:szCs w:val="32"/>
        </w:rPr>
      </w:pPr>
      <w:r>
        <w:rPr>
          <w:rFonts w:hint="eastAsia" w:ascii="仿宋_GB2312" w:eastAsia="仿宋_GB2312"/>
          <w:sz w:val="32"/>
          <w:szCs w:val="32"/>
        </w:rPr>
        <w:t>制定标准的依据（依据的相关法律、法规、规章制度、基础标准、重要标准、参考文献等）</w:t>
      </w:r>
    </w:p>
    <w:p w14:paraId="4E7422A5">
      <w:pPr>
        <w:snapToGrid w:val="0"/>
        <w:spacing w:line="594" w:lineRule="exact"/>
        <w:ind w:firstLine="640" w:firstLineChars="200"/>
        <w:rPr>
          <w:rFonts w:ascii="仿宋_GB2312" w:eastAsia="仿宋_GB2312"/>
          <w:sz w:val="32"/>
          <w:szCs w:val="32"/>
        </w:rPr>
      </w:pPr>
      <w:r>
        <w:rPr>
          <w:rFonts w:ascii="仿宋_GB2312" w:eastAsia="仿宋_GB2312"/>
          <w:sz w:val="32"/>
          <w:szCs w:val="32"/>
        </w:rPr>
        <w:t>[1] 中华人民共和国标准化法</w:t>
      </w:r>
    </w:p>
    <w:p w14:paraId="10FE7A59">
      <w:pPr>
        <w:ind w:firstLine="640" w:firstLineChars="200"/>
        <w:rPr>
          <w:rFonts w:ascii="仿宋_GB2312" w:eastAsia="仿宋_GB2312"/>
          <w:sz w:val="32"/>
          <w:szCs w:val="32"/>
        </w:rPr>
      </w:pPr>
      <w:r>
        <w:rPr>
          <w:rFonts w:ascii="仿宋_GB2312" w:eastAsia="仿宋_GB2312"/>
          <w:sz w:val="32"/>
          <w:szCs w:val="32"/>
        </w:rPr>
        <w:t>[</w:t>
      </w:r>
      <w:r>
        <w:rPr>
          <w:rFonts w:hint="eastAsia" w:ascii="仿宋_GB2312" w:eastAsia="仿宋_GB2312"/>
          <w:sz w:val="32"/>
          <w:szCs w:val="32"/>
        </w:rPr>
        <w:t>2</w:t>
      </w:r>
      <w:r>
        <w:rPr>
          <w:rFonts w:ascii="仿宋_GB2312" w:eastAsia="仿宋_GB2312"/>
          <w:sz w:val="32"/>
          <w:szCs w:val="32"/>
        </w:rPr>
        <w:t>]</w:t>
      </w:r>
      <w:r>
        <w:rPr>
          <w:rFonts w:hint="eastAsia" w:ascii="仿宋_GB2312" w:eastAsia="仿宋_GB2312"/>
          <w:sz w:val="32"/>
          <w:szCs w:val="32"/>
        </w:rPr>
        <w:t xml:space="preserve"> </w:t>
      </w:r>
      <w:r>
        <w:rPr>
          <w:rFonts w:ascii="仿宋_GB2312" w:eastAsia="仿宋_GB2312"/>
          <w:sz w:val="32"/>
          <w:szCs w:val="32"/>
        </w:rPr>
        <w:t>GB/T 32139 棉花加工术语</w:t>
      </w:r>
    </w:p>
    <w:p w14:paraId="2E312660">
      <w:pPr>
        <w:ind w:firstLine="640" w:firstLineChars="200"/>
        <w:rPr>
          <w:rFonts w:ascii="仿宋_GB2312" w:eastAsia="仿宋_GB2312"/>
          <w:sz w:val="32"/>
          <w:szCs w:val="32"/>
        </w:rPr>
      </w:pPr>
      <w:r>
        <w:rPr>
          <w:rFonts w:ascii="仿宋_GB2312" w:eastAsia="仿宋_GB2312"/>
          <w:sz w:val="32"/>
          <w:szCs w:val="32"/>
        </w:rPr>
        <w:t>[</w:t>
      </w:r>
      <w:r>
        <w:rPr>
          <w:rFonts w:hint="eastAsia" w:ascii="仿宋_GB2312" w:eastAsia="仿宋_GB2312"/>
          <w:sz w:val="32"/>
          <w:szCs w:val="32"/>
        </w:rPr>
        <w:t>3</w:t>
      </w:r>
      <w:r>
        <w:rPr>
          <w:rFonts w:ascii="仿宋_GB2312" w:eastAsia="仿宋_GB2312"/>
          <w:sz w:val="32"/>
          <w:szCs w:val="32"/>
        </w:rPr>
        <w:t>]</w:t>
      </w:r>
      <w:r>
        <w:rPr>
          <w:rFonts w:hint="eastAsia" w:ascii="仿宋_GB2312" w:eastAsia="仿宋_GB2312"/>
          <w:sz w:val="32"/>
          <w:szCs w:val="32"/>
        </w:rPr>
        <w:t xml:space="preserve"> </w:t>
      </w:r>
      <w:r>
        <w:rPr>
          <w:rFonts w:ascii="仿宋_GB2312" w:eastAsia="仿宋_GB2312"/>
          <w:sz w:val="32"/>
          <w:szCs w:val="32"/>
        </w:rPr>
        <w:t>DB65/T 3843.10 棉花生产全程机械化技术规程 第10部分：棉田残膜治理作业</w:t>
      </w:r>
    </w:p>
    <w:p w14:paraId="0C09BB48">
      <w:pPr>
        <w:ind w:firstLine="640" w:firstLineChars="200"/>
        <w:rPr>
          <w:rFonts w:ascii="仿宋_GB2312" w:eastAsia="仿宋_GB2312"/>
          <w:sz w:val="32"/>
          <w:szCs w:val="32"/>
        </w:rPr>
      </w:pPr>
      <w:r>
        <w:rPr>
          <w:rFonts w:ascii="仿宋_GB2312" w:eastAsia="仿宋_GB2312"/>
          <w:sz w:val="32"/>
          <w:szCs w:val="32"/>
        </w:rPr>
        <w:t>[</w:t>
      </w:r>
      <w:r>
        <w:rPr>
          <w:rFonts w:hint="eastAsia" w:ascii="仿宋_GB2312" w:eastAsia="仿宋_GB2312"/>
          <w:sz w:val="32"/>
          <w:szCs w:val="32"/>
        </w:rPr>
        <w:t>4</w:t>
      </w:r>
      <w:r>
        <w:rPr>
          <w:rFonts w:ascii="仿宋_GB2312" w:eastAsia="仿宋_GB2312"/>
          <w:sz w:val="32"/>
          <w:szCs w:val="32"/>
        </w:rPr>
        <w:t>]</w:t>
      </w:r>
      <w:r>
        <w:rPr>
          <w:rFonts w:hint="eastAsia" w:ascii="仿宋_GB2312" w:eastAsia="仿宋_GB2312"/>
          <w:sz w:val="32"/>
          <w:szCs w:val="32"/>
        </w:rPr>
        <w:t xml:space="preserve"> </w:t>
      </w:r>
      <w:r>
        <w:rPr>
          <w:rFonts w:ascii="仿宋_GB2312" w:eastAsia="仿宋_GB2312"/>
          <w:sz w:val="32"/>
          <w:szCs w:val="32"/>
        </w:rPr>
        <w:t>DB65/T 3843.9 棉花生产全程机械化技术规程 第9部分：棉杆处理作业</w:t>
      </w:r>
    </w:p>
    <w:p w14:paraId="32882A1D">
      <w:pPr>
        <w:ind w:firstLine="640" w:firstLineChars="200"/>
        <w:rPr>
          <w:rFonts w:ascii="仿宋_GB2312" w:eastAsia="仿宋_GB2312"/>
          <w:sz w:val="32"/>
          <w:szCs w:val="32"/>
        </w:rPr>
      </w:pPr>
      <w:r>
        <w:rPr>
          <w:rFonts w:ascii="仿宋_GB2312" w:eastAsia="仿宋_GB2312"/>
          <w:sz w:val="32"/>
          <w:szCs w:val="32"/>
        </w:rPr>
        <w:t>[</w:t>
      </w:r>
      <w:r>
        <w:rPr>
          <w:rFonts w:hint="eastAsia" w:ascii="仿宋_GB2312" w:eastAsia="仿宋_GB2312"/>
          <w:sz w:val="32"/>
          <w:szCs w:val="32"/>
        </w:rPr>
        <w:t>5</w:t>
      </w:r>
      <w:r>
        <w:rPr>
          <w:rFonts w:ascii="仿宋_GB2312" w:eastAsia="仿宋_GB2312"/>
          <w:sz w:val="32"/>
          <w:szCs w:val="32"/>
        </w:rPr>
        <w:t>]</w:t>
      </w:r>
      <w:r>
        <w:rPr>
          <w:rFonts w:hint="eastAsia" w:ascii="仿宋_GB2312" w:eastAsia="仿宋_GB2312"/>
          <w:sz w:val="32"/>
          <w:szCs w:val="32"/>
        </w:rPr>
        <w:t xml:space="preserve"> </w:t>
      </w:r>
      <w:r>
        <w:rPr>
          <w:rFonts w:ascii="仿宋_GB2312" w:eastAsia="仿宋_GB2312"/>
          <w:sz w:val="32"/>
          <w:szCs w:val="32"/>
        </w:rPr>
        <w:t>DB65/T 3843.3 棉花生产全程机械化技术规程 第3部分：耕地作业</w:t>
      </w:r>
    </w:p>
    <w:p w14:paraId="1C3B87CA">
      <w:pPr>
        <w:ind w:firstLine="640" w:firstLineChars="200"/>
        <w:rPr>
          <w:rFonts w:ascii="仿宋_GB2312" w:eastAsia="仿宋_GB2312"/>
          <w:sz w:val="32"/>
          <w:szCs w:val="32"/>
        </w:rPr>
      </w:pPr>
      <w:r>
        <w:rPr>
          <w:rFonts w:ascii="仿宋_GB2312" w:eastAsia="仿宋_GB2312"/>
          <w:sz w:val="32"/>
          <w:szCs w:val="32"/>
        </w:rPr>
        <w:t>[</w:t>
      </w:r>
      <w:r>
        <w:rPr>
          <w:rFonts w:hint="eastAsia" w:ascii="仿宋_GB2312" w:eastAsia="仿宋_GB2312"/>
          <w:sz w:val="32"/>
          <w:szCs w:val="32"/>
        </w:rPr>
        <w:t>6</w:t>
      </w:r>
      <w:r>
        <w:rPr>
          <w:rFonts w:ascii="仿宋_GB2312" w:eastAsia="仿宋_GB2312"/>
          <w:sz w:val="32"/>
          <w:szCs w:val="32"/>
        </w:rPr>
        <w:t>]</w:t>
      </w:r>
      <w:r>
        <w:rPr>
          <w:rFonts w:hint="eastAsia" w:ascii="仿宋_GB2312" w:eastAsia="仿宋_GB2312"/>
          <w:sz w:val="32"/>
          <w:szCs w:val="32"/>
        </w:rPr>
        <w:t xml:space="preserve"> </w:t>
      </w:r>
      <w:r>
        <w:rPr>
          <w:rFonts w:ascii="仿宋_GB2312" w:eastAsia="仿宋_GB2312"/>
          <w:sz w:val="32"/>
          <w:szCs w:val="32"/>
        </w:rPr>
        <w:t>DB65/T 4415 机采棉田土壤封闭除草技术规范</w:t>
      </w:r>
    </w:p>
    <w:p w14:paraId="12CFA86C">
      <w:pPr>
        <w:ind w:firstLine="640" w:firstLineChars="200"/>
        <w:rPr>
          <w:rFonts w:ascii="仿宋_GB2312" w:eastAsia="仿宋_GB2312"/>
          <w:sz w:val="32"/>
          <w:szCs w:val="32"/>
        </w:rPr>
      </w:pPr>
      <w:r>
        <w:rPr>
          <w:rFonts w:ascii="仿宋_GB2312" w:eastAsia="仿宋_GB2312"/>
          <w:sz w:val="32"/>
          <w:szCs w:val="32"/>
        </w:rPr>
        <w:t>[</w:t>
      </w:r>
      <w:r>
        <w:rPr>
          <w:rFonts w:hint="eastAsia" w:ascii="仿宋_GB2312" w:eastAsia="仿宋_GB2312"/>
          <w:sz w:val="32"/>
          <w:szCs w:val="32"/>
        </w:rPr>
        <w:t>7</w:t>
      </w:r>
      <w:r>
        <w:rPr>
          <w:rFonts w:ascii="仿宋_GB2312" w:eastAsia="仿宋_GB2312"/>
          <w:sz w:val="32"/>
          <w:szCs w:val="32"/>
        </w:rPr>
        <w:t>]</w:t>
      </w:r>
      <w:r>
        <w:rPr>
          <w:rFonts w:hint="eastAsia" w:ascii="仿宋_GB2312" w:eastAsia="仿宋_GB2312"/>
          <w:sz w:val="32"/>
          <w:szCs w:val="32"/>
        </w:rPr>
        <w:t xml:space="preserve"> </w:t>
      </w:r>
      <w:r>
        <w:rPr>
          <w:rFonts w:ascii="仿宋_GB2312" w:eastAsia="仿宋_GB2312"/>
          <w:sz w:val="32"/>
          <w:szCs w:val="32"/>
        </w:rPr>
        <w:t>DB65/T 4282 机采棉防病耐低温保苗技术规程</w:t>
      </w:r>
    </w:p>
    <w:p w14:paraId="43918CAB">
      <w:pPr>
        <w:ind w:firstLine="640" w:firstLineChars="200"/>
        <w:rPr>
          <w:rFonts w:ascii="仿宋_GB2312" w:eastAsia="仿宋_GB2312"/>
          <w:sz w:val="32"/>
          <w:szCs w:val="32"/>
        </w:rPr>
      </w:pPr>
      <w:r>
        <w:rPr>
          <w:rFonts w:ascii="仿宋_GB2312" w:eastAsia="仿宋_GB2312"/>
          <w:sz w:val="32"/>
          <w:szCs w:val="32"/>
        </w:rPr>
        <w:t>[</w:t>
      </w:r>
      <w:r>
        <w:rPr>
          <w:rFonts w:hint="eastAsia" w:ascii="仿宋_GB2312" w:eastAsia="仿宋_GB2312"/>
          <w:sz w:val="32"/>
          <w:szCs w:val="32"/>
        </w:rPr>
        <w:t>8</w:t>
      </w:r>
      <w:r>
        <w:rPr>
          <w:rFonts w:ascii="仿宋_GB2312" w:eastAsia="仿宋_GB2312"/>
          <w:sz w:val="32"/>
          <w:szCs w:val="32"/>
        </w:rPr>
        <w:t>]</w:t>
      </w:r>
      <w:r>
        <w:rPr>
          <w:rFonts w:hint="eastAsia" w:ascii="仿宋_GB2312" w:eastAsia="仿宋_GB2312"/>
          <w:sz w:val="32"/>
          <w:szCs w:val="32"/>
        </w:rPr>
        <w:t xml:space="preserve"> </w:t>
      </w:r>
      <w:r>
        <w:rPr>
          <w:rFonts w:ascii="仿宋_GB2312" w:eastAsia="仿宋_GB2312"/>
          <w:sz w:val="32"/>
          <w:szCs w:val="32"/>
        </w:rPr>
        <w:t>DB65/T 4403 棉花化学打顶整枝应用技术规范</w:t>
      </w:r>
    </w:p>
    <w:p w14:paraId="61D3D31A">
      <w:pPr>
        <w:ind w:firstLine="640" w:firstLineChars="200"/>
        <w:rPr>
          <w:rFonts w:ascii="仿宋_GB2312" w:eastAsia="仿宋_GB2312"/>
          <w:sz w:val="32"/>
          <w:szCs w:val="32"/>
        </w:rPr>
      </w:pPr>
      <w:r>
        <w:rPr>
          <w:rFonts w:ascii="仿宋_GB2312" w:eastAsia="仿宋_GB2312"/>
          <w:sz w:val="32"/>
          <w:szCs w:val="32"/>
        </w:rPr>
        <w:t>[</w:t>
      </w:r>
      <w:r>
        <w:rPr>
          <w:rFonts w:hint="eastAsia" w:ascii="仿宋_GB2312" w:eastAsia="仿宋_GB2312"/>
          <w:sz w:val="32"/>
          <w:szCs w:val="32"/>
        </w:rPr>
        <w:t>9</w:t>
      </w:r>
      <w:r>
        <w:rPr>
          <w:rFonts w:ascii="仿宋_GB2312" w:eastAsia="仿宋_GB2312"/>
          <w:sz w:val="32"/>
          <w:szCs w:val="32"/>
        </w:rPr>
        <w:t>]</w:t>
      </w:r>
      <w:r>
        <w:rPr>
          <w:rFonts w:hint="eastAsia" w:ascii="仿宋_GB2312" w:eastAsia="仿宋_GB2312"/>
          <w:sz w:val="32"/>
          <w:szCs w:val="32"/>
        </w:rPr>
        <w:t xml:space="preserve"> </w:t>
      </w:r>
      <w:r>
        <w:rPr>
          <w:rFonts w:ascii="仿宋_GB2312" w:eastAsia="仿宋_GB2312"/>
          <w:sz w:val="32"/>
          <w:szCs w:val="32"/>
        </w:rPr>
        <w:t>DB65/T 2271 棉花主要病虫害综合防治技术规程</w:t>
      </w:r>
    </w:p>
    <w:p w14:paraId="06054625">
      <w:pPr>
        <w:spacing w:line="360" w:lineRule="auto"/>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0</w:t>
      </w:r>
      <w:r>
        <w:rPr>
          <w:rFonts w:ascii="仿宋_GB2312" w:eastAsia="仿宋_GB2312"/>
          <w:sz w:val="32"/>
          <w:szCs w:val="32"/>
        </w:rPr>
        <w:t>]</w:t>
      </w:r>
      <w:r>
        <w:rPr>
          <w:rFonts w:hint="eastAsia" w:ascii="仿宋_GB2312" w:eastAsia="仿宋_GB2312"/>
          <w:sz w:val="32"/>
          <w:szCs w:val="32"/>
        </w:rPr>
        <w:t xml:space="preserve"> </w:t>
      </w:r>
      <w:r>
        <w:rPr>
          <w:rFonts w:ascii="仿宋_GB2312" w:eastAsia="仿宋_GB2312"/>
          <w:sz w:val="32"/>
          <w:szCs w:val="32"/>
        </w:rPr>
        <w:t>DB65/T 3980 机采棉脱叶剂喷施技术规范</w:t>
      </w:r>
    </w:p>
    <w:p w14:paraId="60292C0F">
      <w:pPr>
        <w:spacing w:line="360" w:lineRule="auto"/>
        <w:ind w:firstLine="640" w:firstLineChars="200"/>
        <w:rPr>
          <w:rFonts w:ascii="仿宋_GB2312" w:eastAsia="仿宋_GB2312"/>
          <w:sz w:val="32"/>
          <w:szCs w:val="32"/>
        </w:rPr>
      </w:pPr>
      <w:r>
        <w:rPr>
          <w:rFonts w:ascii="仿宋_GB2312" w:eastAsia="仿宋_GB2312"/>
          <w:sz w:val="32"/>
          <w:szCs w:val="32"/>
        </w:rPr>
        <w:t>[</w:t>
      </w:r>
      <w:r>
        <w:rPr>
          <w:rFonts w:hint="eastAsia" w:ascii="仿宋_GB2312" w:eastAsia="仿宋_GB2312"/>
          <w:sz w:val="32"/>
          <w:szCs w:val="32"/>
        </w:rPr>
        <w:t>11</w:t>
      </w:r>
      <w:r>
        <w:rPr>
          <w:rFonts w:ascii="仿宋_GB2312" w:eastAsia="仿宋_GB2312"/>
          <w:sz w:val="32"/>
          <w:szCs w:val="32"/>
        </w:rPr>
        <w:t xml:space="preserve">] Wang Fangyong, Han Huanyong, Lin Hai, et al. Effects of planting patterns on yield, quality, and defoliation in machine-harvested cotton. Journal of Integrative Agriculture, 2019, 18(9): 2019-2028. </w:t>
      </w:r>
    </w:p>
    <w:p w14:paraId="76D1CBE7">
      <w:pPr>
        <w:spacing w:line="360" w:lineRule="auto"/>
        <w:ind w:firstLine="640" w:firstLineChars="200"/>
        <w:rPr>
          <w:rFonts w:ascii="仿宋_GB2312" w:eastAsia="仿宋_GB2312"/>
          <w:sz w:val="32"/>
          <w:szCs w:val="32"/>
        </w:rPr>
      </w:pPr>
      <w:r>
        <w:rPr>
          <w:rFonts w:ascii="仿宋_GB2312" w:eastAsia="仿宋_GB2312"/>
          <w:sz w:val="32"/>
          <w:szCs w:val="32"/>
        </w:rPr>
        <w:t>[</w:t>
      </w:r>
      <w:r>
        <w:rPr>
          <w:rFonts w:hint="eastAsia" w:ascii="仿宋_GB2312" w:eastAsia="仿宋_GB2312"/>
          <w:sz w:val="32"/>
          <w:szCs w:val="32"/>
        </w:rPr>
        <w:t>1</w:t>
      </w:r>
      <w:r>
        <w:rPr>
          <w:rFonts w:ascii="仿宋_GB2312" w:eastAsia="仿宋_GB2312"/>
          <w:sz w:val="32"/>
          <w:szCs w:val="32"/>
        </w:rPr>
        <w:t xml:space="preserve">2] 韩焕勇, 王方永, 余渝, 等. 新疆早熟机采棉膜下滴灌等行距密植栽培技术. 中国棉花, 2016, 43(10): 39-40. </w:t>
      </w:r>
    </w:p>
    <w:p w14:paraId="7F950641">
      <w:pPr>
        <w:spacing w:line="360" w:lineRule="auto"/>
        <w:ind w:firstLine="640" w:firstLineChars="200"/>
        <w:rPr>
          <w:rFonts w:ascii="仿宋_GB2312" w:eastAsia="仿宋_GB2312"/>
          <w:sz w:val="32"/>
          <w:szCs w:val="32"/>
        </w:rPr>
      </w:pPr>
      <w:r>
        <w:rPr>
          <w:rFonts w:ascii="仿宋_GB2312" w:eastAsia="仿宋_GB2312"/>
          <w:sz w:val="32"/>
          <w:szCs w:val="32"/>
        </w:rPr>
        <w:t>[</w:t>
      </w:r>
      <w:r>
        <w:rPr>
          <w:rFonts w:hint="eastAsia" w:ascii="仿宋_GB2312" w:eastAsia="仿宋_GB2312"/>
          <w:sz w:val="32"/>
          <w:szCs w:val="32"/>
        </w:rPr>
        <w:t>1</w:t>
      </w:r>
      <w:r>
        <w:rPr>
          <w:rFonts w:ascii="仿宋_GB2312" w:eastAsia="仿宋_GB2312"/>
          <w:sz w:val="32"/>
          <w:szCs w:val="32"/>
        </w:rPr>
        <w:t xml:space="preserve">3] 田雨, 王旭文, 韩焕勇, 等. 施氮量对等行距密植棉花气体交换和叶绿素荧光特性的影响. 新疆农业科学, 2020, 58(11): 1987-1997. </w:t>
      </w:r>
    </w:p>
    <w:p w14:paraId="6B72ACFC">
      <w:pPr>
        <w:spacing w:line="360" w:lineRule="auto"/>
        <w:ind w:firstLine="640" w:firstLineChars="200"/>
        <w:rPr>
          <w:rFonts w:ascii="仿宋_GB2312" w:eastAsia="仿宋_GB2312"/>
          <w:sz w:val="32"/>
          <w:szCs w:val="32"/>
        </w:rPr>
      </w:pPr>
      <w:r>
        <w:rPr>
          <w:rFonts w:ascii="仿宋_GB2312" w:eastAsia="仿宋_GB2312"/>
          <w:sz w:val="32"/>
          <w:szCs w:val="32"/>
        </w:rPr>
        <w:t>[</w:t>
      </w:r>
      <w:r>
        <w:rPr>
          <w:rFonts w:hint="eastAsia" w:ascii="仿宋_GB2312" w:eastAsia="仿宋_GB2312"/>
          <w:sz w:val="32"/>
          <w:szCs w:val="32"/>
        </w:rPr>
        <w:t>1</w:t>
      </w:r>
      <w:r>
        <w:rPr>
          <w:rFonts w:ascii="仿宋_GB2312" w:eastAsia="仿宋_GB2312"/>
          <w:sz w:val="32"/>
          <w:szCs w:val="32"/>
        </w:rPr>
        <w:t xml:space="preserve">4] 王方永, 余渝, 刘景德, 等. 新疆兵团第六师机采棉提质增效关键技术规程. 中国棉花, 2019, 46(4): 42-43. </w:t>
      </w:r>
    </w:p>
    <w:p w14:paraId="3C260214">
      <w:pPr>
        <w:spacing w:line="360" w:lineRule="auto"/>
        <w:ind w:firstLine="640" w:firstLineChars="200"/>
        <w:rPr>
          <w:rFonts w:ascii="仿宋_GB2312" w:eastAsia="仿宋_GB2312"/>
          <w:sz w:val="32"/>
          <w:szCs w:val="32"/>
        </w:rPr>
      </w:pPr>
      <w:r>
        <w:rPr>
          <w:rFonts w:ascii="仿宋_GB2312" w:eastAsia="仿宋_GB2312"/>
          <w:sz w:val="32"/>
          <w:szCs w:val="32"/>
        </w:rPr>
        <w:t>[</w:t>
      </w:r>
      <w:r>
        <w:rPr>
          <w:rFonts w:hint="eastAsia" w:ascii="仿宋_GB2312" w:eastAsia="仿宋_GB2312"/>
          <w:sz w:val="32"/>
          <w:szCs w:val="32"/>
        </w:rPr>
        <w:t>1</w:t>
      </w:r>
      <w:r>
        <w:rPr>
          <w:rFonts w:ascii="仿宋_GB2312" w:eastAsia="仿宋_GB2312"/>
          <w:sz w:val="32"/>
          <w:szCs w:val="32"/>
        </w:rPr>
        <w:t xml:space="preserve">5] 马锦颖, 王方永, 韩焕勇. 种植模式对棉花农艺及产量和品质的影响. 中国棉花, 2019, 46(6): 28-30. </w:t>
      </w:r>
    </w:p>
    <w:p w14:paraId="5DF707AE">
      <w:pPr>
        <w:spacing w:line="360" w:lineRule="auto"/>
        <w:ind w:firstLine="640" w:firstLineChars="200"/>
        <w:rPr>
          <w:rFonts w:ascii="仿宋_GB2312" w:eastAsia="仿宋_GB2312"/>
          <w:sz w:val="32"/>
          <w:szCs w:val="32"/>
        </w:rPr>
      </w:pPr>
      <w:r>
        <w:rPr>
          <w:rFonts w:ascii="仿宋_GB2312" w:eastAsia="仿宋_GB2312"/>
          <w:sz w:val="32"/>
          <w:szCs w:val="32"/>
        </w:rPr>
        <w:t>[</w:t>
      </w:r>
      <w:r>
        <w:rPr>
          <w:rFonts w:hint="eastAsia" w:ascii="仿宋_GB2312" w:eastAsia="仿宋_GB2312"/>
          <w:sz w:val="32"/>
          <w:szCs w:val="32"/>
        </w:rPr>
        <w:t>1</w:t>
      </w:r>
      <w:r>
        <w:rPr>
          <w:rFonts w:ascii="仿宋_GB2312" w:eastAsia="仿宋_GB2312"/>
          <w:sz w:val="32"/>
          <w:szCs w:val="32"/>
        </w:rPr>
        <w:t xml:space="preserve">6] 田雨, 陈献丘, 夏军，等. 滴水量对等行距密植机采棉产量和脱叶吐絮的影响. 石河子大学学报（自然科学版），2020，38（4）：471-478. </w:t>
      </w:r>
    </w:p>
    <w:p w14:paraId="74399755">
      <w:pPr>
        <w:spacing w:line="360" w:lineRule="auto"/>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7</w:t>
      </w:r>
      <w:r>
        <w:rPr>
          <w:rFonts w:ascii="仿宋_GB2312" w:eastAsia="仿宋_GB2312"/>
          <w:sz w:val="32"/>
          <w:szCs w:val="32"/>
        </w:rPr>
        <w:t xml:space="preserve">] 陈兵, 张国蕾, 王静, 等. 机采棉等行距密植模式下棉花脱叶催熟效果研究. 西北农业学报, 2019, 28(10): 1594-1601. </w:t>
      </w:r>
    </w:p>
    <w:p w14:paraId="5FD8EDBB">
      <w:pPr>
        <w:spacing w:line="360" w:lineRule="auto"/>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8</w:t>
      </w:r>
      <w:r>
        <w:rPr>
          <w:rFonts w:ascii="仿宋_GB2312" w:eastAsia="仿宋_GB2312"/>
          <w:sz w:val="32"/>
          <w:szCs w:val="32"/>
        </w:rPr>
        <w:t>] 马锦颖, 王方永, 韩焕勇. 芳草湖垦区机采棉脱叶剂筛选. 新疆农垦科技, 2019, (3): 37-38. （发表时间2019-03-25；引用次数：0）</w:t>
      </w:r>
    </w:p>
    <w:p w14:paraId="6AF8C115">
      <w:pPr>
        <w:pStyle w:val="2"/>
        <w:ind w:firstLine="640"/>
        <w:rPr>
          <w:rFonts w:hint="eastAsia" w:ascii="仿宋_GB2312" w:eastAsia="仿宋_GB2312"/>
          <w:sz w:val="32"/>
          <w:szCs w:val="32"/>
        </w:rPr>
      </w:pPr>
      <w:r>
        <w:rPr>
          <w:rFonts w:ascii="仿宋_GB2312" w:eastAsia="仿宋_GB2312"/>
          <w:sz w:val="32"/>
          <w:szCs w:val="32"/>
        </w:rPr>
        <w:t>[1</w:t>
      </w:r>
      <w:r>
        <w:rPr>
          <w:rFonts w:hint="eastAsia" w:ascii="仿宋_GB2312" w:eastAsia="仿宋_GB2312"/>
          <w:sz w:val="32"/>
          <w:szCs w:val="32"/>
        </w:rPr>
        <w:t>9</w:t>
      </w:r>
      <w:r>
        <w:rPr>
          <w:rFonts w:ascii="仿宋_GB2312" w:eastAsia="仿宋_GB2312"/>
          <w:sz w:val="32"/>
          <w:szCs w:val="32"/>
        </w:rPr>
        <w:t xml:space="preserve">] 时晓娟, 韩焕勇, 王方永, 等. DPC+化学封顶对不同施氮量下棉花叶片光合生理特性的影响. 作物学报, 2020, 46(9): 1416-1429. </w:t>
      </w:r>
    </w:p>
    <w:p w14:paraId="155E34C6">
      <w:pPr>
        <w:numPr>
          <w:ilvl w:val="0"/>
          <w:numId w:val="2"/>
        </w:numPr>
        <w:ind w:firstLine="640" w:firstLineChars="200"/>
        <w:rPr>
          <w:rFonts w:hint="eastAsia" w:ascii="仿宋_GB2312" w:eastAsia="仿宋_GB2312"/>
          <w:sz w:val="32"/>
          <w:szCs w:val="32"/>
        </w:rPr>
      </w:pPr>
      <w:r>
        <w:rPr>
          <w:rFonts w:hint="eastAsia" w:ascii="仿宋_GB2312" w:eastAsia="仿宋_GB2312"/>
          <w:sz w:val="32"/>
          <w:szCs w:val="32"/>
        </w:rPr>
        <w:t>与现行法律、法规、标准的关系</w:t>
      </w:r>
    </w:p>
    <w:p w14:paraId="635F6558">
      <w:pPr>
        <w:snapToGrid w:val="0"/>
        <w:spacing w:line="594" w:lineRule="exact"/>
        <w:ind w:firstLine="640" w:firstLineChars="200"/>
        <w:rPr>
          <w:rFonts w:ascii="仿宋_GB2312" w:eastAsia="仿宋_GB2312"/>
          <w:sz w:val="32"/>
          <w:szCs w:val="32"/>
        </w:rPr>
      </w:pPr>
      <w:r>
        <w:rPr>
          <w:rFonts w:hint="eastAsia" w:ascii="仿宋_GB2312" w:eastAsia="仿宋_GB2312"/>
          <w:sz w:val="32"/>
          <w:szCs w:val="32"/>
        </w:rPr>
        <w:t>与现行有关法律、法规和强制性标准没有矛盾。</w:t>
      </w:r>
    </w:p>
    <w:p w14:paraId="4D785031">
      <w:pPr>
        <w:ind w:firstLine="640" w:firstLineChars="200"/>
        <w:rPr>
          <w:rFonts w:hint="eastAsia" w:ascii="仿宋_GB2312" w:eastAsia="仿宋_GB2312"/>
          <w:sz w:val="28"/>
        </w:rPr>
      </w:pPr>
      <w:r>
        <w:rPr>
          <w:rFonts w:hint="eastAsia" w:ascii="黑体" w:hAnsi="黑体" w:eastAsia="黑体" w:cs="黑体"/>
          <w:sz w:val="32"/>
          <w:szCs w:val="32"/>
        </w:rPr>
        <w:t>五、主要条款的说明</w:t>
      </w:r>
    </w:p>
    <w:p w14:paraId="5FA21286">
      <w:pPr>
        <w:ind w:firstLine="640" w:firstLineChars="200"/>
        <w:rPr>
          <w:rFonts w:ascii="仿宋_GB2312" w:eastAsia="仿宋_GB2312"/>
          <w:sz w:val="32"/>
          <w:szCs w:val="32"/>
        </w:rPr>
      </w:pPr>
      <w:r>
        <w:rPr>
          <w:rFonts w:ascii="仿宋_GB2312" w:eastAsia="仿宋_GB2312"/>
          <w:sz w:val="32"/>
          <w:szCs w:val="32"/>
        </w:rPr>
        <w:t>本标准适用于新疆机采棉种植。在标准条款中，主要技术内容如下：</w:t>
      </w:r>
    </w:p>
    <w:p w14:paraId="7C49AD6C">
      <w:pPr>
        <w:ind w:firstLine="640" w:firstLineChars="200"/>
        <w:rPr>
          <w:rFonts w:ascii="仿宋_GB2312" w:eastAsia="仿宋_GB2312"/>
          <w:sz w:val="32"/>
          <w:szCs w:val="32"/>
        </w:rPr>
      </w:pPr>
      <w:r>
        <w:rPr>
          <w:rFonts w:ascii="仿宋_GB2312" w:eastAsia="仿宋_GB2312"/>
          <w:sz w:val="32"/>
          <w:szCs w:val="32"/>
        </w:rPr>
        <w:t>1、在原 66 cm＋10 cm 机采棉种植模式的基础上，通过增大行距、缩小株距和合理调减密度创建的等行距密植种植模式，该模式的行距为 76cm＋76cm＋76cm，株距为 5.1 cm ~ 8.0 cm，理论种植密度为 1.10 万株/667m</w:t>
      </w:r>
      <w:r>
        <w:rPr>
          <w:rFonts w:ascii="仿宋_GB2312" w:eastAsia="仿宋_GB2312"/>
          <w:sz w:val="32"/>
          <w:szCs w:val="32"/>
          <w:vertAlign w:val="superscript"/>
        </w:rPr>
        <w:t>2</w:t>
      </w:r>
      <w:r>
        <w:rPr>
          <w:rFonts w:ascii="仿宋_GB2312" w:eastAsia="仿宋_GB2312"/>
          <w:sz w:val="32"/>
          <w:szCs w:val="32"/>
        </w:rPr>
        <w:t>~ 1.72 万株/667m</w:t>
      </w:r>
      <w:r>
        <w:rPr>
          <w:rFonts w:ascii="仿宋_GB2312" w:eastAsia="仿宋_GB2312"/>
          <w:sz w:val="32"/>
          <w:szCs w:val="32"/>
          <w:vertAlign w:val="superscript"/>
        </w:rPr>
        <w:t>2</w:t>
      </w:r>
      <w:r>
        <w:rPr>
          <w:rFonts w:ascii="仿宋_GB2312" w:eastAsia="仿宋_GB2312"/>
          <w:sz w:val="32"/>
          <w:szCs w:val="32"/>
        </w:rPr>
        <w:t>；优化了群体光温环境</w:t>
      </w:r>
      <w:r>
        <w:rPr>
          <w:rFonts w:hint="eastAsia" w:ascii="仿宋_GB2312" w:eastAsia="仿宋_GB2312"/>
          <w:sz w:val="32"/>
          <w:szCs w:val="32"/>
        </w:rPr>
        <w:t>，</w:t>
      </w:r>
      <w:r>
        <w:rPr>
          <w:rFonts w:ascii="仿宋_GB2312" w:eastAsia="仿宋_GB2312"/>
          <w:sz w:val="32"/>
          <w:szCs w:val="32"/>
        </w:rPr>
        <w:t>在单位面积铃数减少的情况下通过增加铃重实现了高产稳产和优质生产；促早熟，提升了脱叶催熟时的吐絮率；脱叶效果好，减少了机采籽棉叶片杂质的来源，降低机采籽棉含杂率。因此，能促进机采棉质量提升。</w:t>
      </w:r>
    </w:p>
    <w:p w14:paraId="6B144FAF">
      <w:pPr>
        <w:ind w:firstLine="640" w:firstLineChars="200"/>
        <w:rPr>
          <w:rFonts w:hint="eastAsia"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为确保整地质量和播种质量，</w:t>
      </w:r>
      <w:r>
        <w:rPr>
          <w:rFonts w:ascii="仿宋_GB2312" w:eastAsia="仿宋_GB2312"/>
          <w:sz w:val="32"/>
          <w:szCs w:val="32"/>
        </w:rPr>
        <w:t>对于虚土层较厚的</w:t>
      </w:r>
      <w:r>
        <w:rPr>
          <w:rFonts w:hint="eastAsia" w:ascii="仿宋_GB2312" w:eastAsia="仿宋_GB2312"/>
          <w:sz w:val="32"/>
          <w:szCs w:val="32"/>
        </w:rPr>
        <w:t>砂</w:t>
      </w:r>
      <w:r>
        <w:rPr>
          <w:rFonts w:ascii="仿宋_GB2312" w:eastAsia="仿宋_GB2312"/>
          <w:sz w:val="32"/>
          <w:szCs w:val="32"/>
        </w:rPr>
        <w:t>性土壤，</w:t>
      </w:r>
      <w:r>
        <w:rPr>
          <w:rFonts w:hint="eastAsia" w:ascii="仿宋_GB2312" w:eastAsia="仿宋_GB2312"/>
          <w:sz w:val="32"/>
          <w:szCs w:val="32"/>
        </w:rPr>
        <w:t>推荐使用分流式平土框＋钉齿耙＋绞笼碎土器＋环型镇压器＋耱子的联合一体机</w:t>
      </w:r>
      <w:r>
        <w:rPr>
          <w:rFonts w:ascii="仿宋_GB2312" w:eastAsia="仿宋_GB2312"/>
          <w:sz w:val="32"/>
          <w:szCs w:val="32"/>
        </w:rPr>
        <w:t>整地</w:t>
      </w:r>
      <w:r>
        <w:rPr>
          <w:rFonts w:hint="eastAsia" w:ascii="仿宋_GB2312" w:eastAsia="仿宋_GB2312"/>
          <w:sz w:val="32"/>
          <w:szCs w:val="32"/>
        </w:rPr>
        <w:t>，</w:t>
      </w:r>
      <w:r>
        <w:rPr>
          <w:rFonts w:ascii="仿宋_GB2312" w:eastAsia="仿宋_GB2312"/>
          <w:sz w:val="32"/>
          <w:szCs w:val="32"/>
        </w:rPr>
        <w:t>确保镇压确实。</w:t>
      </w:r>
    </w:p>
    <w:p w14:paraId="7E77ACAC">
      <w:pPr>
        <w:pStyle w:val="20"/>
        <w:ind w:firstLine="646" w:firstLineChars="202"/>
        <w:rPr>
          <w:rFonts w:ascii="仿宋_GB2312" w:eastAsia="仿宋_GB2312"/>
          <w:kern w:val="2"/>
          <w:sz w:val="32"/>
          <w:szCs w:val="32"/>
        </w:rPr>
      </w:pPr>
      <w:r>
        <w:rPr>
          <w:rFonts w:ascii="仿宋_GB2312" w:eastAsia="仿宋_GB2312"/>
          <w:kern w:val="2"/>
          <w:sz w:val="32"/>
          <w:szCs w:val="32"/>
        </w:rPr>
        <w:t>3、为确保高效成苗，春季多雨地区</w:t>
      </w:r>
      <w:r>
        <w:rPr>
          <w:rFonts w:hint="eastAsia" w:ascii="仿宋_GB2312" w:eastAsia="仿宋_GB2312"/>
          <w:kern w:val="2"/>
          <w:sz w:val="32"/>
          <w:szCs w:val="32"/>
        </w:rPr>
        <w:t>、</w:t>
      </w:r>
      <w:r>
        <w:rPr>
          <w:rFonts w:ascii="仿宋_GB2312" w:eastAsia="仿宋_GB2312"/>
          <w:kern w:val="2"/>
          <w:sz w:val="32"/>
          <w:szCs w:val="32"/>
        </w:rPr>
        <w:t>土质黏重易板结、盐碱重的棉田可采用“侧封土”（播种时种孔不覆土）的覆土方式</w:t>
      </w:r>
      <w:r>
        <w:rPr>
          <w:rFonts w:hint="eastAsia" w:ascii="仿宋_GB2312" w:eastAsia="仿宋_GB2312"/>
          <w:kern w:val="2"/>
          <w:sz w:val="32"/>
          <w:szCs w:val="32"/>
        </w:rPr>
        <w:t>。“侧封土”棉田</w:t>
      </w:r>
      <w:r>
        <w:rPr>
          <w:rFonts w:ascii="仿宋_GB2312" w:eastAsia="仿宋_GB2312"/>
          <w:kern w:val="2"/>
          <w:sz w:val="32"/>
          <w:szCs w:val="32"/>
        </w:rPr>
        <w:t>一般采取</w:t>
      </w:r>
      <w:r>
        <w:rPr>
          <w:rFonts w:hint="eastAsia" w:ascii="仿宋_GB2312" w:eastAsia="仿宋_GB2312"/>
          <w:kern w:val="2"/>
          <w:sz w:val="32"/>
          <w:szCs w:val="32"/>
        </w:rPr>
        <w:t>两</w:t>
      </w:r>
      <w:r>
        <w:rPr>
          <w:rFonts w:ascii="仿宋_GB2312" w:eastAsia="仿宋_GB2312"/>
          <w:kern w:val="2"/>
          <w:sz w:val="32"/>
          <w:szCs w:val="32"/>
        </w:rPr>
        <w:t>次少量滴水的方式，两次滴水量均为 10 m</w:t>
      </w:r>
      <w:r>
        <w:rPr>
          <w:rFonts w:ascii="仿宋_GB2312" w:eastAsia="仿宋_GB2312"/>
          <w:kern w:val="2"/>
          <w:sz w:val="32"/>
          <w:szCs w:val="32"/>
          <w:vertAlign w:val="superscript"/>
        </w:rPr>
        <w:t>3</w:t>
      </w:r>
      <w:r>
        <w:rPr>
          <w:rFonts w:ascii="仿宋_GB2312" w:eastAsia="仿宋_GB2312"/>
          <w:kern w:val="2"/>
          <w:sz w:val="32"/>
          <w:szCs w:val="32"/>
        </w:rPr>
        <w:t>/667m</w:t>
      </w:r>
      <w:r>
        <w:rPr>
          <w:rFonts w:ascii="仿宋_GB2312" w:eastAsia="仿宋_GB2312"/>
          <w:kern w:val="2"/>
          <w:sz w:val="32"/>
          <w:szCs w:val="32"/>
          <w:vertAlign w:val="superscript"/>
        </w:rPr>
        <w:t>2</w:t>
      </w:r>
      <w:r>
        <w:rPr>
          <w:rFonts w:ascii="仿宋_GB2312" w:eastAsia="仿宋_GB2312"/>
          <w:kern w:val="2"/>
          <w:sz w:val="32"/>
          <w:szCs w:val="32"/>
        </w:rPr>
        <w:t xml:space="preserve"> ~ 20 m</w:t>
      </w:r>
      <w:r>
        <w:rPr>
          <w:rFonts w:ascii="仿宋_GB2312" w:eastAsia="仿宋_GB2312"/>
          <w:kern w:val="2"/>
          <w:sz w:val="32"/>
          <w:szCs w:val="32"/>
          <w:vertAlign w:val="superscript"/>
        </w:rPr>
        <w:t>3</w:t>
      </w:r>
      <w:r>
        <w:rPr>
          <w:rFonts w:ascii="仿宋_GB2312" w:eastAsia="仿宋_GB2312"/>
          <w:kern w:val="2"/>
          <w:sz w:val="32"/>
          <w:szCs w:val="32"/>
        </w:rPr>
        <w:t>/667m</w:t>
      </w:r>
      <w:r>
        <w:rPr>
          <w:rFonts w:ascii="仿宋_GB2312" w:eastAsia="仿宋_GB2312"/>
          <w:kern w:val="2"/>
          <w:sz w:val="32"/>
          <w:szCs w:val="32"/>
          <w:vertAlign w:val="superscript"/>
        </w:rPr>
        <w:t>2</w:t>
      </w:r>
      <w:r>
        <w:rPr>
          <w:rFonts w:ascii="仿宋_GB2312" w:eastAsia="仿宋_GB2312"/>
          <w:kern w:val="2"/>
          <w:sz w:val="32"/>
          <w:szCs w:val="32"/>
        </w:rPr>
        <w:t>，砂土地可适量多滴水；两次滴水时间间隔 3 d ~7 d，其中重度盐碱地、砂土地间隔 3 d ~4 d，黏土地间隔 5 d ~7 d；两次滴水后，部分“侧封土”棉田仍需结合土壤墒情、出苗情况及时补水。土壤易板结、盐碱重的棉田每次可随水滴施</w:t>
      </w:r>
      <w:r>
        <w:rPr>
          <w:rFonts w:hint="eastAsia" w:ascii="仿宋_GB2312" w:eastAsia="仿宋_GB2312"/>
          <w:kern w:val="2"/>
          <w:sz w:val="32"/>
          <w:szCs w:val="32"/>
        </w:rPr>
        <w:t xml:space="preserve"> </w:t>
      </w:r>
      <w:r>
        <w:rPr>
          <w:rFonts w:ascii="仿宋_GB2312" w:eastAsia="仿宋_GB2312"/>
          <w:kern w:val="2"/>
          <w:sz w:val="32"/>
          <w:szCs w:val="32"/>
        </w:rPr>
        <w:t>0.5 kg/667m</w:t>
      </w:r>
      <w:r>
        <w:rPr>
          <w:rFonts w:ascii="仿宋_GB2312" w:eastAsia="仿宋_GB2312"/>
          <w:kern w:val="2"/>
          <w:sz w:val="32"/>
          <w:szCs w:val="32"/>
          <w:vertAlign w:val="superscript"/>
        </w:rPr>
        <w:t>2</w:t>
      </w:r>
      <w:r>
        <w:rPr>
          <w:rFonts w:ascii="仿宋_GB2312" w:eastAsia="仿宋_GB2312"/>
          <w:kern w:val="2"/>
          <w:sz w:val="32"/>
          <w:szCs w:val="32"/>
        </w:rPr>
        <w:t xml:space="preserve"> ~ 2.0 kg/667m</w:t>
      </w:r>
      <w:r>
        <w:rPr>
          <w:rFonts w:ascii="仿宋_GB2312" w:eastAsia="仿宋_GB2312"/>
          <w:kern w:val="2"/>
          <w:sz w:val="32"/>
          <w:szCs w:val="32"/>
          <w:vertAlign w:val="superscript"/>
        </w:rPr>
        <w:t>2</w:t>
      </w:r>
      <w:r>
        <w:rPr>
          <w:rFonts w:ascii="仿宋_GB2312" w:eastAsia="仿宋_GB2312"/>
          <w:kern w:val="2"/>
          <w:sz w:val="32"/>
          <w:szCs w:val="32"/>
        </w:rPr>
        <w:t xml:space="preserve"> 腐殖酸类肥料或生物菌肥，减轻盐碱危害、防止土壤板结，优化土壤生境。</w:t>
      </w:r>
      <w:r>
        <w:rPr>
          <w:rFonts w:hint="eastAsia" w:ascii="仿宋_GB2312" w:eastAsia="仿宋_GB2312"/>
          <w:kern w:val="2"/>
          <w:sz w:val="32"/>
          <w:szCs w:val="32"/>
        </w:rPr>
        <w:t>“侧封土”棉田</w:t>
      </w:r>
      <w:r>
        <w:rPr>
          <w:rFonts w:ascii="仿宋_GB2312" w:eastAsia="仿宋_GB2312"/>
          <w:kern w:val="2"/>
          <w:sz w:val="32"/>
          <w:szCs w:val="32"/>
        </w:rPr>
        <w:t>要及时</w:t>
      </w:r>
      <w:r>
        <w:rPr>
          <w:rFonts w:hint="eastAsia" w:ascii="仿宋_GB2312" w:eastAsia="仿宋_GB2312"/>
          <w:kern w:val="2"/>
          <w:sz w:val="32"/>
          <w:szCs w:val="32"/>
        </w:rPr>
        <w:t>封闭出苗孔</w:t>
      </w:r>
      <w:r>
        <w:rPr>
          <w:rFonts w:ascii="仿宋_GB2312" w:eastAsia="仿宋_GB2312"/>
          <w:kern w:val="2"/>
          <w:sz w:val="32"/>
          <w:szCs w:val="32"/>
        </w:rPr>
        <w:t>，封土进度要快；在齐苗化控后</w:t>
      </w:r>
      <w:r>
        <w:rPr>
          <w:rFonts w:hint="eastAsia" w:ascii="仿宋_GB2312" w:eastAsia="仿宋_GB2312"/>
          <w:kern w:val="2"/>
          <w:sz w:val="32"/>
          <w:szCs w:val="32"/>
        </w:rPr>
        <w:t xml:space="preserve"> 3</w:t>
      </w:r>
      <w:r>
        <w:rPr>
          <w:rFonts w:ascii="仿宋_GB2312" w:eastAsia="仿宋_GB2312"/>
          <w:kern w:val="2"/>
          <w:sz w:val="32"/>
          <w:szCs w:val="32"/>
        </w:rPr>
        <w:t xml:space="preserve"> </w:t>
      </w:r>
      <w:r>
        <w:rPr>
          <w:rFonts w:hint="eastAsia" w:ascii="仿宋_GB2312" w:eastAsia="仿宋_GB2312"/>
          <w:kern w:val="2"/>
          <w:sz w:val="32"/>
          <w:szCs w:val="32"/>
        </w:rPr>
        <w:t>d</w:t>
      </w:r>
      <w:r>
        <w:rPr>
          <w:rFonts w:ascii="仿宋_GB2312" w:eastAsia="仿宋_GB2312"/>
          <w:kern w:val="2"/>
          <w:sz w:val="32"/>
          <w:szCs w:val="32"/>
        </w:rPr>
        <w:t xml:space="preserve"> 至</w:t>
      </w:r>
      <w:r>
        <w:rPr>
          <w:rFonts w:hint="eastAsia" w:ascii="仿宋_GB2312" w:eastAsia="仿宋_GB2312"/>
          <w:kern w:val="2"/>
          <w:sz w:val="32"/>
          <w:szCs w:val="32"/>
        </w:rPr>
        <w:t xml:space="preserve"> </w:t>
      </w:r>
      <w:r>
        <w:rPr>
          <w:rFonts w:ascii="仿宋_GB2312" w:eastAsia="仿宋_GB2312"/>
          <w:kern w:val="2"/>
          <w:sz w:val="32"/>
          <w:szCs w:val="32"/>
        </w:rPr>
        <w:t>1 叶期</w:t>
      </w:r>
      <w:r>
        <w:rPr>
          <w:rFonts w:hint="eastAsia" w:ascii="仿宋_GB2312" w:eastAsia="仿宋_GB2312"/>
          <w:kern w:val="2"/>
          <w:sz w:val="32"/>
          <w:szCs w:val="32"/>
        </w:rPr>
        <w:t>完成</w:t>
      </w:r>
      <w:r>
        <w:rPr>
          <w:rFonts w:ascii="仿宋_GB2312" w:eastAsia="仿宋_GB2312"/>
          <w:kern w:val="2"/>
          <w:sz w:val="32"/>
          <w:szCs w:val="32"/>
        </w:rPr>
        <w:t>封土。盐碱重的棉田</w:t>
      </w:r>
      <w:r>
        <w:rPr>
          <w:rFonts w:hint="eastAsia" w:ascii="仿宋_GB2312" w:eastAsia="仿宋_GB2312"/>
          <w:kern w:val="2"/>
          <w:sz w:val="32"/>
          <w:szCs w:val="32"/>
        </w:rPr>
        <w:t>不宜</w:t>
      </w:r>
      <w:r>
        <w:rPr>
          <w:rFonts w:ascii="仿宋_GB2312" w:eastAsia="仿宋_GB2312"/>
          <w:kern w:val="2"/>
          <w:sz w:val="32"/>
          <w:szCs w:val="32"/>
        </w:rPr>
        <w:t>早封土，推迟在</w:t>
      </w:r>
      <w:r>
        <w:rPr>
          <w:rFonts w:hint="eastAsia" w:ascii="仿宋_GB2312" w:eastAsia="仿宋_GB2312"/>
          <w:kern w:val="2"/>
          <w:sz w:val="32"/>
          <w:szCs w:val="32"/>
        </w:rPr>
        <w:t xml:space="preserve"> </w:t>
      </w:r>
      <w:r>
        <w:rPr>
          <w:rFonts w:ascii="仿宋_GB2312" w:eastAsia="仿宋_GB2312"/>
          <w:kern w:val="2"/>
          <w:sz w:val="32"/>
          <w:szCs w:val="32"/>
        </w:rPr>
        <w:t>3</w:t>
      </w:r>
      <w:r>
        <w:rPr>
          <w:rFonts w:hint="eastAsia" w:ascii="仿宋_GB2312" w:eastAsia="仿宋_GB2312"/>
          <w:kern w:val="2"/>
          <w:sz w:val="32"/>
          <w:szCs w:val="32"/>
        </w:rPr>
        <w:t xml:space="preserve"> </w:t>
      </w:r>
      <w:r>
        <w:rPr>
          <w:rFonts w:ascii="仿宋_GB2312" w:eastAsia="仿宋_GB2312"/>
          <w:kern w:val="2"/>
          <w:sz w:val="32"/>
          <w:szCs w:val="32"/>
        </w:rPr>
        <w:t>~</w:t>
      </w:r>
      <w:r>
        <w:rPr>
          <w:rFonts w:hint="eastAsia" w:ascii="仿宋_GB2312" w:eastAsia="仿宋_GB2312"/>
          <w:kern w:val="2"/>
          <w:sz w:val="32"/>
          <w:szCs w:val="32"/>
        </w:rPr>
        <w:t xml:space="preserve"> </w:t>
      </w:r>
      <w:r>
        <w:rPr>
          <w:rFonts w:ascii="仿宋_GB2312" w:eastAsia="仿宋_GB2312"/>
          <w:kern w:val="2"/>
          <w:sz w:val="32"/>
          <w:szCs w:val="32"/>
        </w:rPr>
        <w:t>4 叶期完成封土。</w:t>
      </w:r>
    </w:p>
    <w:p w14:paraId="7D98B654">
      <w:pPr>
        <w:pStyle w:val="20"/>
        <w:ind w:firstLine="646" w:firstLineChars="202"/>
        <w:rPr>
          <w:rFonts w:hint="eastAsia" w:ascii="仿宋_GB2312" w:eastAsia="仿宋_GB2312"/>
          <w:kern w:val="2"/>
          <w:sz w:val="32"/>
          <w:szCs w:val="32"/>
        </w:rPr>
      </w:pPr>
      <w:r>
        <w:rPr>
          <w:rFonts w:ascii="仿宋_GB2312" w:eastAsia="仿宋_GB2312"/>
          <w:kern w:val="2"/>
          <w:sz w:val="32"/>
          <w:szCs w:val="32"/>
        </w:rPr>
        <w:t>4、减少水肥投入，提升植保作业效果。本标准按照试验结果，对等行距密植优质高效种植技术的水肥投入进行了推荐。生育期灌溉定额为 260 m</w:t>
      </w:r>
      <w:r>
        <w:rPr>
          <w:rFonts w:ascii="仿宋_GB2312" w:eastAsia="仿宋_GB2312"/>
          <w:kern w:val="2"/>
          <w:sz w:val="32"/>
          <w:szCs w:val="32"/>
          <w:vertAlign w:val="superscript"/>
        </w:rPr>
        <w:t>3</w:t>
      </w:r>
      <w:r>
        <w:rPr>
          <w:rFonts w:ascii="仿宋_GB2312" w:eastAsia="仿宋_GB2312"/>
          <w:kern w:val="2"/>
          <w:sz w:val="32"/>
          <w:szCs w:val="32"/>
        </w:rPr>
        <w:t>/667m</w:t>
      </w:r>
      <w:r>
        <w:rPr>
          <w:rFonts w:ascii="仿宋_GB2312" w:eastAsia="仿宋_GB2312"/>
          <w:kern w:val="2"/>
          <w:sz w:val="32"/>
          <w:szCs w:val="32"/>
          <w:vertAlign w:val="superscript"/>
        </w:rPr>
        <w:t>2</w:t>
      </w:r>
      <w:r>
        <w:rPr>
          <w:rFonts w:ascii="仿宋_GB2312" w:eastAsia="仿宋_GB2312"/>
          <w:kern w:val="2"/>
          <w:sz w:val="32"/>
          <w:szCs w:val="32"/>
        </w:rPr>
        <w:t>~ 300 m</w:t>
      </w:r>
      <w:r>
        <w:rPr>
          <w:rFonts w:ascii="仿宋_GB2312" w:eastAsia="仿宋_GB2312"/>
          <w:kern w:val="2"/>
          <w:sz w:val="32"/>
          <w:szCs w:val="32"/>
          <w:vertAlign w:val="superscript"/>
        </w:rPr>
        <w:t>3</w:t>
      </w:r>
      <w:r>
        <w:rPr>
          <w:rFonts w:ascii="仿宋_GB2312" w:eastAsia="仿宋_GB2312"/>
          <w:kern w:val="2"/>
          <w:sz w:val="32"/>
          <w:szCs w:val="32"/>
        </w:rPr>
        <w:t>/667m</w:t>
      </w:r>
      <w:r>
        <w:rPr>
          <w:rFonts w:ascii="仿宋_GB2312" w:eastAsia="仿宋_GB2312"/>
          <w:kern w:val="2"/>
          <w:sz w:val="32"/>
          <w:szCs w:val="32"/>
          <w:vertAlign w:val="superscript"/>
        </w:rPr>
        <w:t>2</w:t>
      </w:r>
      <w:r>
        <w:rPr>
          <w:rFonts w:ascii="仿宋_GB2312" w:eastAsia="仿宋_GB2312"/>
          <w:kern w:val="2"/>
          <w:sz w:val="32"/>
          <w:szCs w:val="32"/>
        </w:rPr>
        <w:t>，灌水次数 8 次~ 11 次；全生育期 667 m</w:t>
      </w:r>
      <w:r>
        <w:rPr>
          <w:rFonts w:ascii="仿宋_GB2312" w:eastAsia="仿宋_GB2312"/>
          <w:kern w:val="2"/>
          <w:sz w:val="32"/>
          <w:szCs w:val="32"/>
          <w:vertAlign w:val="superscript"/>
        </w:rPr>
        <w:t>2</w:t>
      </w:r>
      <w:r>
        <w:rPr>
          <w:rFonts w:ascii="仿宋_GB2312" w:eastAsia="仿宋_GB2312"/>
          <w:kern w:val="2"/>
          <w:sz w:val="32"/>
          <w:szCs w:val="32"/>
        </w:rPr>
        <w:t>随水滴施尿素 30 kg~35 kg、磷酸一铵 20 kg ~ 25 kg、硫酸钾 15 kg ~ 20 kg。</w:t>
      </w:r>
    </w:p>
    <w:p w14:paraId="0A516B53">
      <w:pPr>
        <w:pStyle w:val="20"/>
        <w:ind w:firstLine="646" w:firstLineChars="202"/>
        <w:rPr>
          <w:rFonts w:hint="eastAsia" w:ascii="仿宋_GB2312" w:eastAsia="仿宋_GB2312"/>
          <w:kern w:val="2"/>
          <w:sz w:val="32"/>
          <w:szCs w:val="32"/>
        </w:rPr>
      </w:pPr>
      <w:r>
        <w:rPr>
          <w:rFonts w:hint="eastAsia" w:ascii="仿宋_GB2312" w:eastAsia="仿宋_GB2312"/>
          <w:sz w:val="32"/>
          <w:szCs w:val="32"/>
        </w:rPr>
        <w:t>5</w:t>
      </w:r>
      <w:r>
        <w:rPr>
          <w:rFonts w:hint="eastAsia" w:ascii="仿宋_GB2312" w:eastAsia="仿宋_GB2312"/>
          <w:kern w:val="2"/>
          <w:sz w:val="32"/>
          <w:szCs w:val="32"/>
        </w:rPr>
        <w:t>、提升脱叶催熟效果。</w:t>
      </w:r>
      <w:r>
        <w:rPr>
          <w:rFonts w:ascii="仿宋_GB2312" w:eastAsia="仿宋_GB2312"/>
          <w:kern w:val="2"/>
          <w:sz w:val="32"/>
          <w:szCs w:val="32"/>
        </w:rPr>
        <w:t>等行距密植模式优化了群体光温环境，促进了棉花早吐絮，在喷施脱叶催熟剂之前的</w:t>
      </w:r>
      <w:r>
        <w:rPr>
          <w:rFonts w:hint="eastAsia" w:ascii="仿宋_GB2312" w:eastAsia="仿宋_GB2312"/>
          <w:kern w:val="2"/>
          <w:sz w:val="32"/>
          <w:szCs w:val="32"/>
        </w:rPr>
        <w:t>自然</w:t>
      </w:r>
      <w:r>
        <w:rPr>
          <w:rFonts w:ascii="仿宋_GB2312" w:eastAsia="仿宋_GB2312"/>
          <w:kern w:val="2"/>
          <w:sz w:val="32"/>
          <w:szCs w:val="32"/>
        </w:rPr>
        <w:t>吐絮率比常规模式高2.7-19.5</w:t>
      </w:r>
      <w:r>
        <w:rPr>
          <w:rFonts w:hint="eastAsia" w:ascii="仿宋_GB2312" w:eastAsia="仿宋_GB2312"/>
          <w:kern w:val="2"/>
          <w:sz w:val="32"/>
          <w:szCs w:val="32"/>
        </w:rPr>
        <w:t>个</w:t>
      </w:r>
      <w:r>
        <w:rPr>
          <w:rFonts w:ascii="仿宋_GB2312" w:eastAsia="仿宋_GB2312"/>
          <w:kern w:val="2"/>
          <w:sz w:val="32"/>
          <w:szCs w:val="32"/>
        </w:rPr>
        <w:t>百分点，在机采前的吐絮率也显著高于常规模式</w:t>
      </w:r>
      <w:r>
        <w:rPr>
          <w:rFonts w:hint="eastAsia" w:ascii="仿宋_GB2312" w:eastAsia="仿宋_GB2312"/>
          <w:kern w:val="2"/>
          <w:sz w:val="32"/>
          <w:szCs w:val="32"/>
        </w:rPr>
        <w:t>。而且</w:t>
      </w:r>
      <w:r>
        <w:rPr>
          <w:rFonts w:ascii="仿宋_GB2312" w:eastAsia="仿宋_GB2312"/>
          <w:kern w:val="2"/>
          <w:sz w:val="32"/>
          <w:szCs w:val="32"/>
        </w:rPr>
        <w:t>，等行距密植模式的脱叶效果整体优于常规模式</w:t>
      </w:r>
      <w:r>
        <w:rPr>
          <w:rFonts w:hint="eastAsia" w:ascii="仿宋_GB2312" w:eastAsia="仿宋_GB2312"/>
          <w:kern w:val="2"/>
          <w:sz w:val="32"/>
          <w:szCs w:val="32"/>
        </w:rPr>
        <w:t>，喷施脱叶剂</w:t>
      </w:r>
      <w:r>
        <w:rPr>
          <w:rFonts w:ascii="仿宋_GB2312" w:eastAsia="仿宋_GB2312"/>
          <w:kern w:val="2"/>
          <w:sz w:val="32"/>
          <w:szCs w:val="32"/>
        </w:rPr>
        <w:t>药后</w:t>
      </w:r>
      <w:r>
        <w:rPr>
          <w:rFonts w:hint="eastAsia" w:ascii="仿宋_GB2312" w:eastAsia="仿宋_GB2312"/>
          <w:kern w:val="2"/>
          <w:sz w:val="32"/>
          <w:szCs w:val="32"/>
        </w:rPr>
        <w:t>7天和药后20-21天</w:t>
      </w:r>
      <w:r>
        <w:rPr>
          <w:rFonts w:ascii="仿宋_GB2312" w:eastAsia="仿宋_GB2312"/>
          <w:kern w:val="2"/>
          <w:sz w:val="32"/>
          <w:szCs w:val="32"/>
        </w:rPr>
        <w:t>的脱叶率分别比常规模式高</w:t>
      </w:r>
      <w:r>
        <w:rPr>
          <w:rFonts w:hint="eastAsia" w:ascii="仿宋_GB2312" w:eastAsia="仿宋_GB2312"/>
          <w:kern w:val="2"/>
          <w:sz w:val="32"/>
          <w:szCs w:val="32"/>
        </w:rPr>
        <w:t>1.8-9.9个百分点和1.6-5.3个百分点。</w:t>
      </w:r>
      <w:r>
        <w:rPr>
          <w:rFonts w:ascii="仿宋_GB2312" w:eastAsia="仿宋_GB2312"/>
          <w:kern w:val="2"/>
          <w:sz w:val="32"/>
          <w:szCs w:val="32"/>
        </w:rPr>
        <w:t>该模式能显著提升脱叶吐絮效果。</w:t>
      </w:r>
    </w:p>
    <w:p w14:paraId="40F9996D">
      <w:pPr>
        <w:ind w:firstLine="640" w:firstLineChars="200"/>
        <w:rPr>
          <w:rFonts w:hint="eastAsia" w:ascii="仿宋_GB2312" w:eastAsia="仿宋_GB2312"/>
          <w:sz w:val="32"/>
          <w:szCs w:val="32"/>
        </w:rPr>
      </w:pPr>
      <w:r>
        <w:rPr>
          <w:rFonts w:hint="eastAsia" w:ascii="黑体" w:hAnsi="黑体" w:eastAsia="黑体" w:cs="黑体"/>
          <w:sz w:val="32"/>
          <w:szCs w:val="32"/>
        </w:rPr>
        <w:t>六、重大意见分歧的处理依据和结果</w:t>
      </w:r>
    </w:p>
    <w:p w14:paraId="1395471F">
      <w:pPr>
        <w:spacing w:line="560" w:lineRule="exact"/>
        <w:ind w:firstLine="640" w:firstLineChars="200"/>
        <w:rPr>
          <w:rFonts w:eastAsia="仿宋"/>
          <w:bCs/>
          <w:sz w:val="32"/>
          <w:szCs w:val="32"/>
        </w:rPr>
      </w:pPr>
      <w:r>
        <w:rPr>
          <w:rFonts w:hint="eastAsia" w:ascii="仿宋_GB2312" w:eastAsia="仿宋_GB2312"/>
          <w:sz w:val="32"/>
          <w:szCs w:val="32"/>
        </w:rPr>
        <w:t>广泛</w:t>
      </w:r>
      <w:r>
        <w:rPr>
          <w:rFonts w:ascii="仿宋_GB2312" w:eastAsia="仿宋_GB2312"/>
          <w:sz w:val="32"/>
          <w:szCs w:val="32"/>
        </w:rPr>
        <w:t>征求了</w:t>
      </w:r>
      <w:r>
        <w:rPr>
          <w:rFonts w:hint="eastAsia" w:ascii="仿宋_GB2312" w:eastAsia="仿宋_GB2312"/>
          <w:sz w:val="32"/>
          <w:szCs w:val="32"/>
        </w:rPr>
        <w:t>新疆生产建设兵团农业农村局（行业主管）、新疆生产建设兵团农业技术推广总站（行业主管）、石河子大学农学院（科研院校）、新疆农业大学农学院（科研院校）、塔里木大学农学院（科研院校）、新疆生产建设兵团</w:t>
      </w:r>
      <w:r>
        <w:rPr>
          <w:rFonts w:ascii="仿宋_GB2312" w:eastAsia="仿宋_GB2312"/>
          <w:sz w:val="32"/>
          <w:szCs w:val="32"/>
        </w:rPr>
        <w:t>第</w:t>
      </w:r>
      <w:r>
        <w:rPr>
          <w:rFonts w:hint="eastAsia" w:ascii="仿宋_GB2312" w:eastAsia="仿宋_GB2312"/>
          <w:sz w:val="32"/>
          <w:szCs w:val="32"/>
        </w:rPr>
        <w:t>一</w:t>
      </w:r>
      <w:r>
        <w:rPr>
          <w:rFonts w:ascii="仿宋_GB2312" w:eastAsia="仿宋_GB2312"/>
          <w:sz w:val="32"/>
          <w:szCs w:val="32"/>
        </w:rPr>
        <w:t>师</w:t>
      </w:r>
      <w:r>
        <w:rPr>
          <w:rFonts w:hint="eastAsia" w:ascii="仿宋_GB2312" w:eastAsia="仿宋_GB2312"/>
          <w:sz w:val="32"/>
          <w:szCs w:val="32"/>
        </w:rPr>
        <w:t>农业科学研究所（使用）、</w:t>
      </w:r>
      <w:r>
        <w:rPr>
          <w:rFonts w:ascii="仿宋_GB2312" w:eastAsia="仿宋_GB2312"/>
          <w:sz w:val="32"/>
          <w:szCs w:val="32"/>
        </w:rPr>
        <w:t>第</w:t>
      </w:r>
      <w:r>
        <w:rPr>
          <w:rFonts w:hint="eastAsia" w:ascii="仿宋_GB2312" w:eastAsia="仿宋_GB2312"/>
          <w:sz w:val="32"/>
          <w:szCs w:val="32"/>
        </w:rPr>
        <w:t>三</w:t>
      </w:r>
      <w:r>
        <w:rPr>
          <w:rFonts w:ascii="仿宋_GB2312" w:eastAsia="仿宋_GB2312"/>
          <w:sz w:val="32"/>
          <w:szCs w:val="32"/>
        </w:rPr>
        <w:t>师</w:t>
      </w:r>
      <w:r>
        <w:rPr>
          <w:rFonts w:hint="eastAsia" w:ascii="仿宋_GB2312" w:eastAsia="仿宋_GB2312"/>
          <w:sz w:val="32"/>
          <w:szCs w:val="32"/>
        </w:rPr>
        <w:t>农业科学研究所（使用）、第七师农业发展服务中心（行业主管）、第七师农业科学研究所（使用）、石河子农业科学研究院（使用）、第七师一二五团农业和林业草原中心（使用）、第七师一二八团农业和林业草原中心（使用）、胡杨河市顺意种植农民专业合作社（生产）、克拉玛依市双一农惠种植农民专业合合作社（生产）</w:t>
      </w:r>
      <w:r>
        <w:rPr>
          <w:rFonts w:ascii="仿宋_GB2312" w:eastAsia="仿宋_GB2312"/>
          <w:sz w:val="32"/>
          <w:szCs w:val="32"/>
        </w:rPr>
        <w:t>等</w:t>
      </w:r>
      <w:r>
        <w:rPr>
          <w:rFonts w:hint="eastAsia" w:ascii="仿宋_GB2312" w:eastAsia="仿宋_GB2312"/>
          <w:sz w:val="32"/>
          <w:szCs w:val="32"/>
        </w:rPr>
        <w:t>14家单位的</w:t>
      </w:r>
      <w:r>
        <w:rPr>
          <w:rFonts w:ascii="仿宋_GB2312" w:eastAsia="仿宋_GB2312"/>
          <w:sz w:val="32"/>
          <w:szCs w:val="32"/>
        </w:rPr>
        <w:t>意见，无重大意见分歧。</w:t>
      </w:r>
    </w:p>
    <w:p w14:paraId="6737A4BC">
      <w:pPr>
        <w:ind w:firstLine="640" w:firstLineChars="200"/>
        <w:rPr>
          <w:rFonts w:hint="eastAsia" w:ascii="仿宋_GB2312" w:eastAsia="仿宋_GB2312"/>
          <w:color w:val="FF0000"/>
          <w:sz w:val="32"/>
          <w:szCs w:val="32"/>
        </w:rPr>
      </w:pPr>
      <w:r>
        <w:rPr>
          <w:rFonts w:hint="eastAsia" w:ascii="黑体" w:hAnsi="黑体" w:eastAsia="黑体" w:cs="黑体"/>
          <w:sz w:val="32"/>
          <w:szCs w:val="32"/>
        </w:rPr>
        <w:t>七、采用国际标准或国外先进标准的，说明采标程度，以及国内外同类标准水平的对比情况</w:t>
      </w:r>
    </w:p>
    <w:p w14:paraId="2761ACA2">
      <w:pPr>
        <w:pStyle w:val="2"/>
        <w:ind w:firstLine="640"/>
        <w:rPr>
          <w:rFonts w:hint="eastAsia" w:ascii="仿宋_GB2312" w:eastAsia="仿宋_GB2312"/>
          <w:sz w:val="32"/>
          <w:szCs w:val="32"/>
        </w:rPr>
      </w:pPr>
      <w:r>
        <w:rPr>
          <w:rFonts w:hint="eastAsia" w:ascii="仿宋_GB2312" w:eastAsia="仿宋_GB2312"/>
          <w:sz w:val="32"/>
          <w:szCs w:val="32"/>
        </w:rPr>
        <w:t>无。</w:t>
      </w:r>
    </w:p>
    <w:p w14:paraId="5F5318CA">
      <w:pPr>
        <w:ind w:firstLine="640" w:firstLineChars="200"/>
        <w:rPr>
          <w:rFonts w:hint="eastAsia" w:ascii="仿宋_GB2312" w:eastAsia="仿宋_GB2312"/>
          <w:sz w:val="32"/>
          <w:szCs w:val="32"/>
        </w:rPr>
      </w:pPr>
      <w:r>
        <w:rPr>
          <w:rFonts w:hint="eastAsia" w:ascii="黑体" w:hAnsi="黑体" w:eastAsia="黑体" w:cs="黑体"/>
          <w:sz w:val="32"/>
          <w:szCs w:val="32"/>
        </w:rPr>
        <w:t>八、作为推荐性或强制性标准的建议及其理由</w:t>
      </w:r>
    </w:p>
    <w:p w14:paraId="21C2A92F">
      <w:pPr>
        <w:ind w:firstLine="640" w:firstLineChars="200"/>
        <w:rPr>
          <w:rFonts w:hint="eastAsia" w:ascii="仿宋_GB2312" w:eastAsia="仿宋_GB2312"/>
          <w:sz w:val="32"/>
          <w:szCs w:val="32"/>
        </w:rPr>
      </w:pPr>
      <w:r>
        <w:rPr>
          <w:rFonts w:hint="eastAsia" w:ascii="仿宋_GB2312" w:eastAsia="仿宋_GB2312"/>
          <w:sz w:val="32"/>
          <w:szCs w:val="32"/>
        </w:rPr>
        <w:t>建议《</w:t>
      </w:r>
      <w:r>
        <w:rPr>
          <w:rFonts w:hint="eastAsia" w:ascii="仿宋_GB2312" w:eastAsia="仿宋_GB2312"/>
          <w:bCs/>
          <w:sz w:val="32"/>
          <w:szCs w:val="32"/>
        </w:rPr>
        <w:t>机采棉等行距密植优质种植技术规程</w:t>
      </w:r>
      <w:r>
        <w:rPr>
          <w:rFonts w:hint="eastAsia" w:ascii="仿宋_GB2312" w:eastAsia="仿宋_GB2312"/>
          <w:sz w:val="32"/>
          <w:szCs w:val="32"/>
        </w:rPr>
        <w:t>》作为推荐性标准发布实施。</w:t>
      </w:r>
    </w:p>
    <w:p w14:paraId="6E3032C4">
      <w:pPr>
        <w:ind w:firstLine="640" w:firstLineChars="200"/>
        <w:rPr>
          <w:rFonts w:hint="eastAsia" w:ascii="仿宋_GB2312" w:eastAsia="仿宋_GB2312"/>
          <w:sz w:val="32"/>
          <w:szCs w:val="32"/>
        </w:rPr>
      </w:pPr>
      <w:r>
        <w:rPr>
          <w:rFonts w:hint="eastAsia" w:ascii="黑体" w:hAnsi="黑体" w:eastAsia="黑体" w:cs="黑体"/>
          <w:sz w:val="32"/>
          <w:szCs w:val="32"/>
        </w:rPr>
        <w:t>九、贯彻标准的措施建议</w:t>
      </w:r>
    </w:p>
    <w:p w14:paraId="0BB3E19B">
      <w:pPr>
        <w:spacing w:line="600" w:lineRule="exact"/>
        <w:ind w:firstLine="640" w:firstLineChars="200"/>
        <w:rPr>
          <w:rFonts w:hint="eastAsia" w:ascii="仿宋_GB2312" w:eastAsia="仿宋_GB2312"/>
          <w:bCs/>
          <w:sz w:val="32"/>
          <w:szCs w:val="32"/>
        </w:rPr>
      </w:pPr>
      <w:r>
        <w:rPr>
          <w:rFonts w:hint="eastAsia" w:ascii="仿宋_GB2312" w:eastAsia="仿宋_GB2312"/>
          <w:bCs/>
          <w:sz w:val="32"/>
          <w:szCs w:val="32"/>
        </w:rPr>
        <w:t>机采棉等行距密植优质种植技术涉及播前准备、品种选择、播种、田间管理、机械采收等诸多环节，组织棉花生产、管理、科研、服务等相关部门、企业、农户等，实施机采棉种植标准化，才能实现机采棉优质高效生产。该标准发布后，一要</w:t>
      </w:r>
      <w:r>
        <w:rPr>
          <w:rFonts w:ascii="仿宋_GB2312" w:eastAsia="仿宋_GB2312"/>
          <w:bCs/>
          <w:sz w:val="32"/>
          <w:szCs w:val="32"/>
        </w:rPr>
        <w:t>充分利用广播、电视、互联网等媒体，</w:t>
      </w:r>
      <w:r>
        <w:rPr>
          <w:rFonts w:hint="eastAsia" w:ascii="仿宋_GB2312" w:eastAsia="仿宋_GB2312"/>
          <w:bCs/>
          <w:sz w:val="32"/>
          <w:szCs w:val="32"/>
        </w:rPr>
        <w:t>积极宣传和普及</w:t>
      </w:r>
      <w:r>
        <w:rPr>
          <w:rFonts w:ascii="仿宋_GB2312" w:eastAsia="仿宋_GB2312"/>
          <w:bCs/>
          <w:sz w:val="32"/>
          <w:szCs w:val="32"/>
        </w:rPr>
        <w:t>，让广大棉农了解</w:t>
      </w:r>
      <w:r>
        <w:rPr>
          <w:rFonts w:hint="eastAsia" w:ascii="仿宋_GB2312" w:eastAsia="仿宋_GB2312"/>
          <w:bCs/>
          <w:sz w:val="32"/>
          <w:szCs w:val="32"/>
        </w:rPr>
        <w:t>标准化种植的重要性并掌握</w:t>
      </w:r>
      <w:r>
        <w:rPr>
          <w:rFonts w:ascii="仿宋_GB2312" w:eastAsia="仿宋_GB2312"/>
          <w:bCs/>
          <w:sz w:val="32"/>
          <w:szCs w:val="32"/>
        </w:rPr>
        <w:t>标准内容</w:t>
      </w:r>
      <w:r>
        <w:rPr>
          <w:rFonts w:hint="eastAsia" w:ascii="仿宋_GB2312" w:eastAsia="仿宋_GB2312"/>
          <w:bCs/>
          <w:sz w:val="32"/>
          <w:szCs w:val="32"/>
        </w:rPr>
        <w:t>；二要</w:t>
      </w:r>
      <w:r>
        <w:rPr>
          <w:rFonts w:ascii="仿宋_GB2312" w:eastAsia="仿宋_GB2312"/>
          <w:bCs/>
          <w:sz w:val="32"/>
          <w:szCs w:val="32"/>
        </w:rPr>
        <w:t>广泛开展</w:t>
      </w:r>
      <w:r>
        <w:rPr>
          <w:rFonts w:hint="eastAsia" w:ascii="仿宋_GB2312" w:eastAsia="仿宋_GB2312"/>
          <w:bCs/>
          <w:sz w:val="32"/>
          <w:szCs w:val="32"/>
        </w:rPr>
        <w:t>标准专题</w:t>
      </w:r>
      <w:r>
        <w:rPr>
          <w:rFonts w:ascii="仿宋_GB2312" w:eastAsia="仿宋_GB2312"/>
          <w:bCs/>
          <w:sz w:val="32"/>
          <w:szCs w:val="32"/>
        </w:rPr>
        <w:t>技术培训，</w:t>
      </w:r>
      <w:r>
        <w:rPr>
          <w:rFonts w:hint="eastAsia" w:ascii="仿宋_GB2312" w:eastAsia="仿宋_GB2312"/>
          <w:bCs/>
          <w:sz w:val="32"/>
          <w:szCs w:val="32"/>
        </w:rPr>
        <w:t>通过线上线下多渠道、室内室外多场合</w:t>
      </w:r>
      <w:r>
        <w:rPr>
          <w:rFonts w:ascii="仿宋_GB2312" w:eastAsia="仿宋_GB2312"/>
          <w:bCs/>
          <w:sz w:val="32"/>
          <w:szCs w:val="32"/>
        </w:rPr>
        <w:t>宣贯标准，</w:t>
      </w:r>
      <w:r>
        <w:rPr>
          <w:rFonts w:hint="eastAsia" w:ascii="仿宋_GB2312" w:eastAsia="仿宋_GB2312"/>
          <w:bCs/>
          <w:sz w:val="32"/>
          <w:szCs w:val="32"/>
        </w:rPr>
        <w:t>深化棉农对标准的认知和提高技术到位率，促进标准在机采棉生产中的应用，促进机采棉产业的高质量发展。</w:t>
      </w:r>
    </w:p>
    <w:p w14:paraId="770EF3CB">
      <w:pPr>
        <w:ind w:firstLine="640" w:firstLineChars="200"/>
        <w:rPr>
          <w:rFonts w:hint="eastAsia" w:ascii="仿宋_GB2312" w:eastAsia="仿宋_GB2312"/>
          <w:sz w:val="32"/>
          <w:szCs w:val="32"/>
        </w:rPr>
      </w:pPr>
      <w:r>
        <w:rPr>
          <w:rFonts w:hint="eastAsia" w:ascii="黑体" w:hAnsi="黑体" w:eastAsia="黑体" w:cs="黑体"/>
          <w:sz w:val="32"/>
          <w:szCs w:val="32"/>
        </w:rPr>
        <w:t>十、其他应说明的事项</w:t>
      </w:r>
      <w:r>
        <w:rPr>
          <w:rFonts w:hint="eastAsia" w:ascii="仿宋_GB2312" w:eastAsia="仿宋_GB2312"/>
          <w:sz w:val="32"/>
          <w:szCs w:val="32"/>
        </w:rPr>
        <w:t>无。</w:t>
      </w:r>
    </w:p>
    <w:p w14:paraId="23DF8FAB">
      <w:pPr>
        <w:ind w:firstLine="640" w:firstLineChars="200"/>
        <w:rPr>
          <w:rFonts w:hint="eastAsia" w:ascii="仿宋_GB2312" w:eastAsia="仿宋_GB2312"/>
          <w:sz w:val="32"/>
          <w:szCs w:val="32"/>
        </w:rPr>
      </w:pPr>
    </w:p>
    <w:p w14:paraId="17E602FA">
      <w:pPr>
        <w:ind w:firstLine="640" w:firstLineChars="200"/>
        <w:jc w:val="right"/>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eastAsia="仿宋_GB2312"/>
          <w:bCs/>
          <w:sz w:val="32"/>
          <w:szCs w:val="32"/>
        </w:rPr>
        <w:t>机采棉等行距密植优质种植技术规程</w:t>
      </w:r>
      <w:r>
        <w:rPr>
          <w:rFonts w:hint="eastAsia" w:ascii="仿宋_GB2312" w:hAnsi="宋体" w:eastAsia="仿宋_GB2312"/>
          <w:sz w:val="32"/>
          <w:szCs w:val="32"/>
        </w:rPr>
        <w:t xml:space="preserve">》标准起草小组 </w:t>
      </w:r>
    </w:p>
    <w:p w14:paraId="712EF433">
      <w:pPr>
        <w:ind w:firstLine="640" w:firstLineChars="200"/>
        <w:jc w:val="right"/>
        <w:rPr>
          <w:rFonts w:hint="eastAsia" w:ascii="仿宋_GB2312" w:eastAsia="仿宋_GB2312"/>
          <w:sz w:val="32"/>
          <w:szCs w:val="32"/>
        </w:rPr>
      </w:pPr>
      <w:r>
        <w:rPr>
          <w:rFonts w:hint="eastAsia" w:ascii="仿宋_GB2312" w:eastAsia="仿宋_GB2312"/>
          <w:sz w:val="32"/>
          <w:szCs w:val="32"/>
        </w:rPr>
        <w:t>二○二四年十月五日</w:t>
      </w:r>
    </w:p>
    <w:sectPr>
      <w:footerReference r:id="rId3" w:type="default"/>
      <w:footerReference r:id="rId4" w:type="even"/>
      <w:pgSz w:w="11906" w:h="16838"/>
      <w:pgMar w:top="1701" w:right="1474" w:bottom="1418" w:left="1588" w:header="851" w:footer="992"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BFB7C">
    <w:pPr>
      <w:pStyle w:val="5"/>
      <w:framePr w:wrap="around" w:vAnchor="text" w:hAnchor="margin" w:xAlign="right" w:y="1"/>
      <w:rPr>
        <w:rStyle w:val="11"/>
      </w:rPr>
    </w:pPr>
    <w:r>
      <w:fldChar w:fldCharType="begin"/>
    </w:r>
    <w:r>
      <w:rPr>
        <w:rStyle w:val="11"/>
      </w:rPr>
      <w:instrText xml:space="preserve">PAGE  </w:instrText>
    </w:r>
    <w:r>
      <w:fldChar w:fldCharType="separate"/>
    </w:r>
    <w:r>
      <w:rPr>
        <w:rStyle w:val="11"/>
      </w:rPr>
      <w:t>10</w:t>
    </w:r>
    <w:r>
      <w:fldChar w:fldCharType="end"/>
    </w:r>
  </w:p>
  <w:p w14:paraId="3FF59CB3">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19AC8">
    <w:pPr>
      <w:pStyle w:val="5"/>
      <w:framePr w:wrap="around" w:vAnchor="text" w:hAnchor="margin" w:xAlign="right" w:y="1"/>
      <w:rPr>
        <w:rStyle w:val="11"/>
      </w:rPr>
    </w:pPr>
    <w:r>
      <w:fldChar w:fldCharType="begin"/>
    </w:r>
    <w:r>
      <w:rPr>
        <w:rStyle w:val="11"/>
      </w:rPr>
      <w:instrText xml:space="preserve">PAGE  </w:instrText>
    </w:r>
    <w:r>
      <w:fldChar w:fldCharType="end"/>
    </w:r>
  </w:p>
  <w:p w14:paraId="425F8E65">
    <w:pPr>
      <w:pStyle w:val="5"/>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490746"/>
    <w:multiLevelType w:val="singleLevel"/>
    <w:tmpl w:val="20490746"/>
    <w:lvl w:ilvl="0" w:tentative="0">
      <w:start w:val="1"/>
      <w:numFmt w:val="decimal"/>
      <w:suff w:val="nothing"/>
      <w:lvlText w:val="%1、"/>
      <w:lvlJc w:val="left"/>
    </w:lvl>
  </w:abstractNum>
  <w:abstractNum w:abstractNumId="1">
    <w:nsid w:val="754630F0"/>
    <w:multiLevelType w:val="singleLevel"/>
    <w:tmpl w:val="754630F0"/>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jc5MGE3OTk3Njc0YThkNmU2MzE2ODc2ZTFkNzBjMjkifQ=="/>
  </w:docVars>
  <w:rsids>
    <w:rsidRoot w:val="00BB0057"/>
    <w:rsid w:val="00016198"/>
    <w:rsid w:val="000A5D1D"/>
    <w:rsid w:val="000C5EF4"/>
    <w:rsid w:val="00121566"/>
    <w:rsid w:val="0016113B"/>
    <w:rsid w:val="00162951"/>
    <w:rsid w:val="001C3D61"/>
    <w:rsid w:val="001F7555"/>
    <w:rsid w:val="00291E5F"/>
    <w:rsid w:val="002D6192"/>
    <w:rsid w:val="002E477D"/>
    <w:rsid w:val="00301C6F"/>
    <w:rsid w:val="003559CD"/>
    <w:rsid w:val="003C4894"/>
    <w:rsid w:val="003C7662"/>
    <w:rsid w:val="003D7DB3"/>
    <w:rsid w:val="003F4E68"/>
    <w:rsid w:val="00415036"/>
    <w:rsid w:val="004551B2"/>
    <w:rsid w:val="0046286E"/>
    <w:rsid w:val="00486C00"/>
    <w:rsid w:val="004C5E1E"/>
    <w:rsid w:val="004C7073"/>
    <w:rsid w:val="005449B3"/>
    <w:rsid w:val="005546B2"/>
    <w:rsid w:val="0058110B"/>
    <w:rsid w:val="00606C4D"/>
    <w:rsid w:val="006319F7"/>
    <w:rsid w:val="00686E07"/>
    <w:rsid w:val="00695C7A"/>
    <w:rsid w:val="006B34C7"/>
    <w:rsid w:val="006B5C81"/>
    <w:rsid w:val="00766DDB"/>
    <w:rsid w:val="007C79BF"/>
    <w:rsid w:val="00811783"/>
    <w:rsid w:val="008211CE"/>
    <w:rsid w:val="00827ACB"/>
    <w:rsid w:val="008455CD"/>
    <w:rsid w:val="00850FE2"/>
    <w:rsid w:val="00866C73"/>
    <w:rsid w:val="008836BE"/>
    <w:rsid w:val="008D2825"/>
    <w:rsid w:val="00942FEA"/>
    <w:rsid w:val="00951154"/>
    <w:rsid w:val="0097129E"/>
    <w:rsid w:val="00982EA2"/>
    <w:rsid w:val="00996E5F"/>
    <w:rsid w:val="009A7D42"/>
    <w:rsid w:val="009E4AD1"/>
    <w:rsid w:val="00A162AF"/>
    <w:rsid w:val="00A303D0"/>
    <w:rsid w:val="00A34FCB"/>
    <w:rsid w:val="00A5419B"/>
    <w:rsid w:val="00A81CCD"/>
    <w:rsid w:val="00A94B04"/>
    <w:rsid w:val="00AB6E88"/>
    <w:rsid w:val="00B75889"/>
    <w:rsid w:val="00B96001"/>
    <w:rsid w:val="00BB0057"/>
    <w:rsid w:val="00C12800"/>
    <w:rsid w:val="00C84647"/>
    <w:rsid w:val="00D05F2F"/>
    <w:rsid w:val="00D12F9C"/>
    <w:rsid w:val="00D140D0"/>
    <w:rsid w:val="00D265DA"/>
    <w:rsid w:val="00D52080"/>
    <w:rsid w:val="00DA01C0"/>
    <w:rsid w:val="00DC19C5"/>
    <w:rsid w:val="00DD258F"/>
    <w:rsid w:val="00DD7964"/>
    <w:rsid w:val="00DE0E86"/>
    <w:rsid w:val="00E12F2E"/>
    <w:rsid w:val="00E156E8"/>
    <w:rsid w:val="00E2567D"/>
    <w:rsid w:val="00E737C5"/>
    <w:rsid w:val="00EB5478"/>
    <w:rsid w:val="00F1255F"/>
    <w:rsid w:val="00F25E4D"/>
    <w:rsid w:val="00F31552"/>
    <w:rsid w:val="00F4324B"/>
    <w:rsid w:val="00F523BD"/>
    <w:rsid w:val="00F537E1"/>
    <w:rsid w:val="00F734F5"/>
    <w:rsid w:val="00F95BE5"/>
    <w:rsid w:val="00FD1374"/>
    <w:rsid w:val="120E5512"/>
    <w:rsid w:val="18B0731D"/>
    <w:rsid w:val="19225EDB"/>
    <w:rsid w:val="1D4875E2"/>
    <w:rsid w:val="1ECE6B72"/>
    <w:rsid w:val="216212B0"/>
    <w:rsid w:val="21906F65"/>
    <w:rsid w:val="2255660A"/>
    <w:rsid w:val="2781039A"/>
    <w:rsid w:val="32F41CE3"/>
    <w:rsid w:val="34E4779A"/>
    <w:rsid w:val="3CD96807"/>
    <w:rsid w:val="3E38346F"/>
    <w:rsid w:val="3FB475CF"/>
    <w:rsid w:val="4D2775DF"/>
    <w:rsid w:val="51754D89"/>
    <w:rsid w:val="51A05046"/>
    <w:rsid w:val="525C72AA"/>
    <w:rsid w:val="5E7D7239"/>
    <w:rsid w:val="5F655A44"/>
    <w:rsid w:val="604B613A"/>
    <w:rsid w:val="649B7EEB"/>
    <w:rsid w:val="66494224"/>
    <w:rsid w:val="69FA42C6"/>
    <w:rsid w:val="70C04B9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_Style 1"/>
    <w:basedOn w:val="1"/>
    <w:qFormat/>
    <w:uiPriority w:val="0"/>
    <w:pPr>
      <w:ind w:firstLine="420" w:firstLineChars="200"/>
    </w:pPr>
  </w:style>
  <w:style w:type="paragraph" w:styleId="3">
    <w:name w:val="Body Text"/>
    <w:basedOn w:val="1"/>
    <w:link w:val="14"/>
    <w:qFormat/>
    <w:uiPriority w:val="0"/>
    <w:rPr>
      <w:szCs w:val="22"/>
    </w:rPr>
  </w:style>
  <w:style w:type="paragraph" w:styleId="4">
    <w:name w:val="Body Text Indent"/>
    <w:basedOn w:val="1"/>
    <w:link w:val="15"/>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4"/>
    <w:link w:val="16"/>
    <w:qFormat/>
    <w:uiPriority w:val="0"/>
    <w:pPr>
      <w:ind w:firstLine="420" w:firstLineChars="200"/>
    </w:p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paragraph" w:customStyle="1" w:styleId="12">
    <w:name w:val="默认段落字体 Para Char Char Char Char Char Char Char"/>
    <w:basedOn w:val="1"/>
    <w:semiHidden/>
    <w:qFormat/>
    <w:uiPriority w:val="0"/>
    <w:rPr>
      <w:szCs w:val="30"/>
    </w:rPr>
  </w:style>
  <w:style w:type="character" w:customStyle="1" w:styleId="13">
    <w:name w:val="页眉 Char"/>
    <w:basedOn w:val="10"/>
    <w:link w:val="6"/>
    <w:qFormat/>
    <w:uiPriority w:val="99"/>
    <w:rPr>
      <w:kern w:val="2"/>
      <w:sz w:val="18"/>
      <w:szCs w:val="18"/>
    </w:rPr>
  </w:style>
  <w:style w:type="character" w:customStyle="1" w:styleId="14">
    <w:name w:val="正文文本 Char"/>
    <w:basedOn w:val="10"/>
    <w:link w:val="3"/>
    <w:qFormat/>
    <w:uiPriority w:val="0"/>
    <w:rPr>
      <w:kern w:val="2"/>
      <w:sz w:val="21"/>
      <w:szCs w:val="22"/>
    </w:rPr>
  </w:style>
  <w:style w:type="character" w:customStyle="1" w:styleId="15">
    <w:name w:val="正文文本缩进 Char"/>
    <w:basedOn w:val="10"/>
    <w:link w:val="4"/>
    <w:qFormat/>
    <w:uiPriority w:val="0"/>
    <w:rPr>
      <w:kern w:val="2"/>
      <w:sz w:val="21"/>
      <w:szCs w:val="24"/>
    </w:rPr>
  </w:style>
  <w:style w:type="character" w:customStyle="1" w:styleId="16">
    <w:name w:val="正文首行缩进 2 Char"/>
    <w:basedOn w:val="15"/>
    <w:link w:val="7"/>
    <w:qFormat/>
    <w:uiPriority w:val="0"/>
  </w:style>
  <w:style w:type="paragraph" w:customStyle="1" w:styleId="17">
    <w:name w:val="标准文件_段"/>
    <w:link w:val="18"/>
    <w:qFormat/>
    <w:uiPriority w:val="0"/>
    <w:pPr>
      <w:autoSpaceDE w:val="0"/>
      <w:autoSpaceDN w:val="0"/>
      <w:ind w:firstLine="200" w:firstLineChars="200"/>
      <w:jc w:val="both"/>
    </w:pPr>
    <w:rPr>
      <w:rFonts w:ascii="宋体" w:hAnsi="Times New Roman" w:eastAsia="宋体" w:cs="Times New Roman"/>
      <w:sz w:val="21"/>
      <w:lang w:bidi="ar-SA"/>
    </w:rPr>
  </w:style>
  <w:style w:type="character" w:customStyle="1" w:styleId="18">
    <w:name w:val="标准文件_段 Char"/>
    <w:link w:val="17"/>
    <w:qFormat/>
    <w:uiPriority w:val="0"/>
    <w:rPr>
      <w:rFonts w:ascii="宋体"/>
      <w:sz w:val="21"/>
      <w:lang w:bidi="ar-SA"/>
    </w:rPr>
  </w:style>
  <w:style w:type="character" w:customStyle="1" w:styleId="19">
    <w:name w:val="段 Char"/>
    <w:link w:val="20"/>
    <w:qFormat/>
    <w:uiPriority w:val="0"/>
    <w:rPr>
      <w:rFonts w:ascii="宋体"/>
      <w:sz w:val="21"/>
      <w:lang w:val="en-US" w:eastAsia="zh-CN" w:bidi="ar-SA"/>
    </w:rPr>
  </w:style>
  <w:style w:type="paragraph" w:customStyle="1" w:styleId="20">
    <w:name w:val="段"/>
    <w:link w:val="1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11</Pages>
  <Words>4985</Words>
  <Characters>5615</Characters>
  <Lines>42</Lines>
  <Paragraphs>11</Paragraphs>
  <TotalTime>0</TotalTime>
  <ScaleCrop>false</ScaleCrop>
  <LinksUpToDate>false</LinksUpToDate>
  <CharactersWithSpaces>5825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2011-10-31T01:34:00Z</dcterms:created>
  <dc:creator>微软用户</dc:creator>
  <cp:lastModifiedBy>殷亚彬</cp:lastModifiedBy>
  <dcterms:modified xsi:type="dcterms:W3CDTF">2024-10-23T04:05:12Z</dcterms:modified>
  <dc:title>《地方标准编制说明》格式规范</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F1E267CB908C4ECBA45372515B8A1BBC_13</vt:lpwstr>
  </property>
</Properties>
</file>